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3778" w14:textId="77777777" w:rsidR="00F21E51" w:rsidRDefault="00F21E51"/>
    <w:tbl>
      <w:tblPr>
        <w:tblW w:w="9971" w:type="dxa"/>
        <w:tblInd w:w="-190" w:type="dxa"/>
        <w:tblCellMar>
          <w:left w:w="120" w:type="dxa"/>
          <w:right w:w="180" w:type="dxa"/>
        </w:tblCellMar>
        <w:tblLook w:val="0000" w:firstRow="0" w:lastRow="0" w:firstColumn="0" w:lastColumn="0" w:noHBand="0" w:noVBand="0"/>
      </w:tblPr>
      <w:tblGrid>
        <w:gridCol w:w="2660"/>
        <w:gridCol w:w="7311"/>
      </w:tblGrid>
      <w:tr w:rsidR="00F21E51" w14:paraId="683DB89D" w14:textId="77777777">
        <w:trPr>
          <w:trHeight w:val="1978"/>
        </w:trPr>
        <w:tc>
          <w:tcPr>
            <w:tcW w:w="2660" w:type="dxa"/>
            <w:shd w:val="clear" w:color="auto" w:fill="auto"/>
            <w:tcMar>
              <w:left w:w="120" w:type="dxa"/>
            </w:tcMar>
          </w:tcPr>
          <w:p w14:paraId="012EAB0C" w14:textId="77777777" w:rsidR="00F21E51" w:rsidRDefault="00BD038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59C2516" wp14:editId="6247B001">
                  <wp:extent cx="853440" cy="1136650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34" t="-32" r="-34" b="-32"/>
                          <a:stretch/>
                        </pic:blipFill>
                        <pic:spPr>
                          <a:xfrm>
                            <a:off x="0" y="0"/>
                            <a:ext cx="85344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1" w:type="dxa"/>
            <w:shd w:val="clear" w:color="auto" w:fill="auto"/>
            <w:tcMar>
              <w:left w:w="120" w:type="dxa"/>
            </w:tcMar>
          </w:tcPr>
          <w:p w14:paraId="7664A487" w14:textId="77777777" w:rsidR="00F21E51" w:rsidRDefault="00BD0380">
            <w:pPr>
              <w:jc w:val="center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édération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N</w:t>
            </w:r>
            <w:r>
              <w:rPr>
                <w:rFonts w:ascii="Arial" w:hAnsi="Arial"/>
                <w:b/>
                <w:bCs/>
              </w:rPr>
              <w:t>ationale de l'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</w:rPr>
              <w:t xml:space="preserve">nseignement, de la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ulture et de la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ormation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P</w:t>
            </w:r>
            <w:r>
              <w:rPr>
                <w:rFonts w:ascii="Arial" w:hAnsi="Arial"/>
                <w:b/>
                <w:bCs/>
              </w:rPr>
              <w:t>rofessionnelle,</w:t>
            </w:r>
          </w:p>
          <w:p w14:paraId="0E08BF97" w14:textId="77777777" w:rsidR="00F21E51" w:rsidRDefault="00BD0380">
            <w:pPr>
              <w:ind w:right="-141"/>
              <w:jc w:val="center"/>
              <w:rPr>
                <w:rFonts w:ascii="Arial" w:hAnsi="Arial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C00000"/>
                <w:sz w:val="32"/>
                <w:szCs w:val="32"/>
              </w:rPr>
              <w:t>FORCE OUVRIERE</w:t>
            </w:r>
          </w:p>
          <w:p w14:paraId="00AABC21" w14:textId="77777777" w:rsidR="00F21E51" w:rsidRDefault="00BD0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 rue Sédillot – 67000 STRASBOURG</w:t>
            </w:r>
          </w:p>
          <w:p w14:paraId="31000146" w14:textId="77777777" w:rsidR="00F21E51" w:rsidRDefault="00BD0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Tél : 06 17 33 61 57</w:t>
            </w:r>
          </w:p>
        </w:tc>
      </w:tr>
    </w:tbl>
    <w:p w14:paraId="4397E2FD" w14:textId="04C60678" w:rsidR="00F21E51" w:rsidRDefault="00BD038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Déclaration des élus </w:t>
      </w:r>
      <w:r>
        <w:rPr>
          <w:rFonts w:ascii="Calibri" w:hAnsi="Calibri" w:cs="Calibri"/>
          <w:b/>
          <w:bCs/>
          <w:color w:val="C00000"/>
        </w:rPr>
        <w:t xml:space="preserve">Force Ouvrière </w:t>
      </w:r>
      <w:r>
        <w:rPr>
          <w:rFonts w:ascii="Calibri" w:hAnsi="Calibri" w:cs="Calibri"/>
          <w:b/>
          <w:bCs/>
          <w:color w:val="000000"/>
        </w:rPr>
        <w:t>à la FS du CSA-A</w:t>
      </w:r>
      <w:r>
        <w:rPr>
          <w:rFonts w:ascii="Calibri" w:hAnsi="Calibri" w:cs="Calibri"/>
          <w:b/>
          <w:bCs/>
        </w:rPr>
        <w:t xml:space="preserve"> du lundi 2 février 2026. </w:t>
      </w:r>
    </w:p>
    <w:p w14:paraId="34EBEB9D" w14:textId="77777777" w:rsidR="00F21E51" w:rsidRDefault="00BD038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Monsieur le Recteur,</w:t>
      </w:r>
    </w:p>
    <w:p w14:paraId="68DEEE65" w14:textId="3BF2EE27" w:rsidR="00F21E51" w:rsidRDefault="00BD038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Mesdames et Messieurs les membres de la formation spécialisée du CSA Académique, </w:t>
      </w:r>
    </w:p>
    <w:p w14:paraId="35DEB914" w14:textId="77777777" w:rsidR="00BD0380" w:rsidRDefault="00BD0380">
      <w:pPr>
        <w:jc w:val="both"/>
        <w:rPr>
          <w:rFonts w:ascii="Calibri" w:hAnsi="Calibri" w:cs="Calibri"/>
          <w:b/>
          <w:bCs/>
        </w:rPr>
      </w:pPr>
    </w:p>
    <w:p w14:paraId="2C5D4AC6" w14:textId="1BF5E542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dénonce le projet du président Macron et de ses gouvernements successifs de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poursuivre et d’aggraver la mainmise de l’État sur l’ensemble des droits sociaux conquis par la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lutte syndicale depuis plus d’un siècle, notamment la Sécurité sociale qui, dès lors qu’elle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dépendrait d’une enveloppe de crédits inscrite au budget, serait donc à la merci de l’austérité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due, dans la situation </w:t>
      </w:r>
      <w:r>
        <w:rPr>
          <w:rFonts w:ascii="Calibri" w:hAnsi="Calibri" w:cs="Calibri"/>
        </w:rPr>
        <w:t>actuelle, à l’accroissement de l’économie de guerre.</w:t>
      </w:r>
    </w:p>
    <w:p w14:paraId="32F9D0B9" w14:textId="551EF56B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Nous rappelons notre attachement aux principes fondateurs de la Sécurité sociale de 1945, dont nous célébrons cette année les 80 ans, et à l’universalité des droits dont le financement est basé sur le salaire différé. Nous revendiquons un retour à une gestion paritaire</w:t>
      </w:r>
      <w:r>
        <w:rPr>
          <w:rFonts w:ascii="Calibri" w:hAnsi="Calibri" w:cs="Calibri"/>
        </w:rPr>
        <w:t xml:space="preserve"> où salariés et employeurs gèrent les recettes de la Protection Sociale. Nous refusons la mainmise de l’État sur des mutuelles privées. Nous exigeons une prise en charge des soins prescrits à 100% par la Sécurité sociale.</w:t>
      </w:r>
    </w:p>
    <w:p w14:paraId="237A93EC" w14:textId="10B9A94D" w:rsidR="00F21E51" w:rsidRDefault="00704EC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BD0380">
        <w:rPr>
          <w:rFonts w:ascii="Calibri" w:hAnsi="Calibri" w:cs="Calibri"/>
        </w:rPr>
        <w:t xml:space="preserve">a </w:t>
      </w:r>
      <w:r w:rsidR="00BD0380">
        <w:rPr>
          <w:rFonts w:ascii="Calibri" w:hAnsi="Calibri" w:cs="Calibri"/>
          <w:b/>
          <w:bCs/>
        </w:rPr>
        <w:t>FNEC FP-FO</w:t>
      </w:r>
      <w:r w:rsidR="00BD0380">
        <w:rPr>
          <w:rFonts w:ascii="Calibri" w:hAnsi="Calibri" w:cs="Calibri"/>
        </w:rPr>
        <w:t xml:space="preserve"> est la seule organisation</w:t>
      </w:r>
      <w:r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>syndicale à ne pas avoir signé l’accord relatif à la P</w:t>
      </w:r>
      <w:r w:rsidR="00BD0380">
        <w:rPr>
          <w:rFonts w:ascii="Calibri" w:hAnsi="Calibri" w:cs="Calibri"/>
        </w:rPr>
        <w:t>rotection S</w:t>
      </w:r>
      <w:r w:rsidR="00BD0380">
        <w:rPr>
          <w:rFonts w:ascii="Calibri" w:hAnsi="Calibri" w:cs="Calibri"/>
        </w:rPr>
        <w:t>ociale C</w:t>
      </w:r>
      <w:r w:rsidR="00BD0380">
        <w:rPr>
          <w:rFonts w:ascii="Calibri" w:hAnsi="Calibri" w:cs="Calibri"/>
        </w:rPr>
        <w:t>omplémentaire pour la</w:t>
      </w:r>
      <w:r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>santé et la prévoyance du 8 avril 2024 qui, comme le rappelle le préambule, en « étant</w:t>
      </w:r>
      <w:r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>majoritaire [il] s’applique directement à l'ensemble des personnels employés et rémunérés</w:t>
      </w:r>
      <w:r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 xml:space="preserve">par l'État et par ses établissements publics ». </w:t>
      </w:r>
    </w:p>
    <w:p w14:paraId="308989E5" w14:textId="77777777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Accord qui contient dès le départ : obligation d’adhérer, baisse de la solidarité intergénérationnelle et entre agents, négociation laissée à la main du ministère, mêmes options pour toute la famille. </w:t>
      </w:r>
    </w:p>
    <w:p w14:paraId="69E194EA" w14:textId="28F27861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 régime de protection obligatoire et ses options prohibitives s’attaquent au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principe de la Sécurité sociale de 1945 qui veut que chacun cotise selon ses moyens et reçoive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selon ses besoins. Elles mettent également à mal les principes mutualistes et de solidarité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intergénérationnelle ainsi que la liberté de choix.</w:t>
      </w:r>
    </w:p>
    <w:p w14:paraId="558FCC08" w14:textId="6C828A6F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Loin d’améliorer la situation des agents, le contrat de prévoyance collectif ne comprenant pas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la prise en charge des CMO et CLD, il rend nécessaire la prise d’options qui va entraîner une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nouvelle baisse du pouvoir d’achat des agents avec des options en cascade pour des garanties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en partie comprises dans beaucoup de contrats actuels, notamment la couverture du congé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maladie ordinaire au-delà de 3 mois, des garanties obsèques ou de dépendance. Beaucoup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d’agents risquent dès lors de se retrouver dans des situations sociales intenables.</w:t>
      </w:r>
    </w:p>
    <w:p w14:paraId="33942091" w14:textId="2FD6606F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condamne l’impuissance voulue du ministère à recruter des médecins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prévention, des infirmiers, des psychologues, des assistantes sociales ainsi que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l’externalisation comme solution mettant un terme à la médecine de prévention, conséquence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des budgets d’austérité. </w:t>
      </w:r>
    </w:p>
    <w:p w14:paraId="7ECE1FB4" w14:textId="7502BD6A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exige que l’avis positif</w:t>
      </w:r>
      <w:r w:rsidR="00BF7A2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émis par les experts désignés par l’employeur</w:t>
      </w:r>
      <w:r w:rsidR="00BF7A2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soit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automatiquement suivi de l’octroi d’un CLM et CGM par le conseil médical et l’administration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et dénonce les rejets de plus en plus nombreux et les délais qui s’allongent pour la tenue des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conseils médicaux</w:t>
      </w:r>
      <w:r w:rsidR="007D6CA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privant les personnels de leurs droits.</w:t>
      </w:r>
    </w:p>
    <w:p w14:paraId="55418288" w14:textId="00CFD31F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Nous demandons que les personnels en CLD puissent conserver le bénéfice de leur poste,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s’ils le souhaitent, sur toute la durée de leur CLD, et que le CLM puisse être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requalifié en CLD à tout moment quand la situation médicale l’exige.</w:t>
      </w:r>
    </w:p>
    <w:p w14:paraId="7EB68930" w14:textId="7CA38F3E" w:rsidR="00845040" w:rsidRPr="00845040" w:rsidRDefault="00704EC0" w:rsidP="008450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 w:rsidR="00845040" w:rsidRPr="00845040">
        <w:rPr>
          <w:rFonts w:ascii="Trebuchet MS" w:eastAsia="Times New Roman" w:hAnsi="Trebuchet MS" w:cs="Arial"/>
          <w:color w:val="333333"/>
          <w:sz w:val="20"/>
          <w:szCs w:val="20"/>
          <w:lang w:eastAsia="fr-FR"/>
          <w14:ligatures w14:val="none"/>
        </w:rPr>
        <w:t xml:space="preserve"> </w:t>
      </w:r>
      <w:r w:rsidR="00845040" w:rsidRPr="00845040">
        <w:rPr>
          <w:rFonts w:ascii="Calibri" w:hAnsi="Calibri" w:cs="Calibri"/>
        </w:rPr>
        <w:t>constate des délais de traitement particulièrement excessifs concernant les</w:t>
      </w:r>
      <w:r w:rsidR="00BF7A25">
        <w:rPr>
          <w:rFonts w:ascii="Calibri" w:hAnsi="Calibri" w:cs="Calibri"/>
        </w:rPr>
        <w:t xml:space="preserve"> </w:t>
      </w:r>
      <w:r w:rsidR="00845040" w:rsidRPr="00845040">
        <w:rPr>
          <w:rFonts w:ascii="Calibri" w:hAnsi="Calibri" w:cs="Calibri"/>
        </w:rPr>
        <w:t>demandes de CITIS, de congé de longue maladie (CLM) ainsi que leurs renouvellements.</w:t>
      </w:r>
    </w:p>
    <w:p w14:paraId="68600183" w14:textId="6EBEEB01" w:rsidR="00845040" w:rsidRPr="00845040" w:rsidRDefault="00845040" w:rsidP="00845040">
      <w:pPr>
        <w:rPr>
          <w:rFonts w:ascii="Calibri" w:hAnsi="Calibri" w:cs="Calibri"/>
        </w:rPr>
      </w:pPr>
      <w:r w:rsidRPr="00845040">
        <w:rPr>
          <w:rFonts w:ascii="Calibri" w:hAnsi="Calibri" w:cs="Calibri"/>
        </w:rPr>
        <w:t>Ces dysfonctionnements placent de nombreux agents dans des situations administratives et financières particulièrement difficiles, certains ne sachant même plus dans quelle position administrative ils se trouvent.</w:t>
      </w:r>
    </w:p>
    <w:p w14:paraId="5F1DF988" w14:textId="29BB4020" w:rsidR="00845040" w:rsidRPr="00845040" w:rsidRDefault="00845040" w:rsidP="0084504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 w:rsidRPr="00845040">
        <w:rPr>
          <w:rFonts w:ascii="Trebuchet MS" w:eastAsia="Times New Roman" w:hAnsi="Trebuchet MS" w:cs="Arial"/>
          <w:color w:val="333333"/>
          <w:sz w:val="20"/>
          <w:szCs w:val="20"/>
          <w:lang w:eastAsia="fr-FR"/>
          <w14:ligatures w14:val="none"/>
        </w:rPr>
        <w:t xml:space="preserve"> </w:t>
      </w:r>
      <w:r w:rsidRPr="00845040">
        <w:rPr>
          <w:rFonts w:ascii="Calibri" w:hAnsi="Calibri" w:cs="Calibri"/>
        </w:rPr>
        <w:t>demande le traitement dans les plus brefs délais, de l’ensemble des dossiers actuellement en souffrance, certains depuis plusieurs mois, voire depuis plus d’un an.</w:t>
      </w:r>
    </w:p>
    <w:p w14:paraId="4D396D9A" w14:textId="578E91DF" w:rsidR="00F21E51" w:rsidRPr="00845040" w:rsidRDefault="00845040" w:rsidP="00845040">
      <w:pPr>
        <w:rPr>
          <w:rFonts w:ascii="Calibri" w:hAnsi="Calibri" w:cs="Calibri"/>
          <w:b/>
          <w:bCs/>
        </w:rPr>
      </w:pPr>
      <w:r w:rsidRPr="00845040">
        <w:rPr>
          <w:rFonts w:ascii="Calibri" w:hAnsi="Calibri" w:cs="Calibri"/>
        </w:rPr>
        <w:t>Elle demande également que le service du rectorat concerné soit doté des moyens humains</w:t>
      </w:r>
      <w:r w:rsidRPr="00845040">
        <w:rPr>
          <w:rFonts w:ascii="Calibri" w:hAnsi="Calibri" w:cs="Calibri"/>
          <w:b/>
          <w:bCs/>
        </w:rPr>
        <w:t xml:space="preserve"> </w:t>
      </w:r>
      <w:r w:rsidRPr="00845040">
        <w:rPr>
          <w:rFonts w:ascii="Calibri" w:hAnsi="Calibri" w:cs="Calibri"/>
        </w:rPr>
        <w:t>nécessaires, par l’ouverture et l’abondement de postes, afin de garantir un traitement des dossiers dans des délais compatibles avec le respect des droits des personnels.</w:t>
      </w:r>
    </w:p>
    <w:p w14:paraId="55B3907E" w14:textId="0F97D62F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exige que l’aménagement de poste </w:t>
      </w:r>
      <w:r>
        <w:rPr>
          <w:rFonts w:ascii="Calibri" w:hAnsi="Calibri" w:cs="Calibri"/>
        </w:rPr>
        <w:t>prescrit</w:t>
      </w:r>
      <w:r w:rsidR="00BF7A25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par le médecin du travail ou de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prévention s’impose à l’employeur, y compris les aménagements organisationnels, horaires ou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techniques. Trop de réponses en refus subjectifs ou fondés soi-disant sur l’intérêt des élèves sans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autres explications.</w:t>
      </w:r>
    </w:p>
    <w:p w14:paraId="3C88CEB7" w14:textId="7980E3B9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exige que les préconisations médicales soient prises en compte lors des opérations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mobilité, chaque fois que le collègue en fait la demande.</w:t>
      </w:r>
    </w:p>
    <w:p w14:paraId="2BB29211" w14:textId="331D9D6D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>
        <w:rPr>
          <w:rFonts w:ascii="Calibri" w:hAnsi="Calibri" w:cs="Calibri"/>
          <w:b/>
          <w:bCs/>
        </w:rPr>
        <w:t>Combattre les RPS</w:t>
      </w:r>
      <w:r>
        <w:rPr>
          <w:rFonts w:ascii="Calibri" w:hAnsi="Calibri" w:cs="Calibri"/>
        </w:rPr>
        <w:t>, c’est privilégier leur prévention. Ils sont en grande partie générés par les politiques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et les contre-réformes mises en œuvre ces dernières années. </w:t>
      </w:r>
    </w:p>
    <w:p w14:paraId="0B30B35F" w14:textId="368C087F" w:rsidR="00F21E51" w:rsidRDefault="0084504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exige </w:t>
      </w:r>
      <w:r w:rsidR="00BD0380">
        <w:rPr>
          <w:rFonts w:ascii="Calibri" w:hAnsi="Calibri" w:cs="Calibri"/>
        </w:rPr>
        <w:t>le respect des obligations réglementaires de service.</w:t>
      </w:r>
      <w:r w:rsidR="00704EC0"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 xml:space="preserve">Nous dénonçons </w:t>
      </w:r>
      <w:r w:rsidR="00BD0380">
        <w:rPr>
          <w:rFonts w:ascii="Calibri" w:hAnsi="Calibri" w:cs="Calibri"/>
        </w:rPr>
        <w:t>la dégradation des conditions de travail, les remises en question, les</w:t>
      </w:r>
      <w:r w:rsidR="00704EC0"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>remises en cause, les agressions, les menaces, qu’elles soient de pairs, d’élèves ou de parents</w:t>
      </w:r>
      <w:r w:rsidR="00704EC0"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>d’élèves, qui aboutissent à une augmentation significative des accidents de service dus à des</w:t>
      </w:r>
      <w:r w:rsidR="00704EC0">
        <w:rPr>
          <w:rFonts w:ascii="Calibri" w:hAnsi="Calibri" w:cs="Calibri"/>
        </w:rPr>
        <w:t xml:space="preserve"> </w:t>
      </w:r>
      <w:r w:rsidR="00BD0380">
        <w:rPr>
          <w:rFonts w:ascii="Calibri" w:hAnsi="Calibri" w:cs="Calibri"/>
        </w:rPr>
        <w:t>situations de burn-out et d’épuisement psychologique au travail.</w:t>
      </w:r>
    </w:p>
    <w:p w14:paraId="7409AF1B" w14:textId="6C93FFB7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Nous dénonçons les refus de reconnaissances d’imputabilité au service d’accidents dus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aux RPS par l’employeur, qui cherche à les transformer en maladies professionnelles, plus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difficilement indemnisables, en s’appuyant sur le moindre évènement antérieur ou le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fonctionnement normal du service. </w:t>
      </w:r>
    </w:p>
    <w:p w14:paraId="57484954" w14:textId="4DE7CAA2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dénonce l’utilisation par l’administration des circulaires en vigueur, notamment la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circulaire « Royal » de 1997 pour instituer la présomption de culpabilité pour les personnels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enseignants. Dans tous les cas, la protection fonctionnelle doit être accordée.</w:t>
      </w:r>
    </w:p>
    <w:p w14:paraId="347BCF14" w14:textId="44303591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Concernant l’amiante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des mesures de protection, y compris de fermeture, doivent être mises en place de toute urgence dans tous les lieux amiantés. Faute de certitude scientifique garantissant que les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mesures périodiques ou d’encapsulage protègent complètement les agents, Nous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revendiquons que des plans de désamiantage soient financés par les propriétaires des locaux au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plus tôt ou pris en charge par l’employeur.</w:t>
      </w:r>
    </w:p>
    <w:p w14:paraId="41E04C79" w14:textId="5F2D309C" w:rsidR="00845040" w:rsidRDefault="00BF7A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45040">
        <w:rPr>
          <w:rFonts w:ascii="Calibri" w:hAnsi="Calibri" w:cs="Calibri"/>
        </w:rPr>
        <w:t xml:space="preserve">a </w:t>
      </w:r>
      <w:r w:rsidR="00845040">
        <w:rPr>
          <w:rFonts w:ascii="Calibri" w:hAnsi="Calibri" w:cs="Calibri"/>
          <w:b/>
          <w:bCs/>
        </w:rPr>
        <w:t>FNEC-FP FO</w:t>
      </w:r>
      <w:r w:rsidR="00845040">
        <w:rPr>
          <w:rFonts w:ascii="Calibri" w:hAnsi="Calibri" w:cs="Calibri"/>
        </w:rPr>
        <w:t xml:space="preserve"> </w:t>
      </w:r>
      <w:r w:rsidR="00845040" w:rsidRPr="00845040">
        <w:rPr>
          <w:rFonts w:ascii="Calibri" w:hAnsi="Calibri" w:cs="Calibri"/>
        </w:rPr>
        <w:t xml:space="preserve">constate que les fusions d'école, expérimentation de fusion, double direction... confiée au même directeur tendent à se généraliser. Ces situations désorganisent les écoles et les établissements et mettent en souffrance les personnels. </w:t>
      </w:r>
    </w:p>
    <w:p w14:paraId="0CC40FDB" w14:textId="63AEC58F" w:rsidR="00F21E51" w:rsidRDefault="0084504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</w:t>
      </w:r>
      <w:r w:rsidRPr="00845040">
        <w:rPr>
          <w:rFonts w:ascii="Calibri" w:hAnsi="Calibri" w:cs="Calibri"/>
        </w:rPr>
        <w:t>demande que soient abandonnées des décisions conduisant à la mise en place de direction de plus de 15 classes.</w:t>
      </w:r>
    </w:p>
    <w:p w14:paraId="229F3A45" w14:textId="55E37742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Enfin, la </w:t>
      </w:r>
      <w:r>
        <w:rPr>
          <w:rFonts w:ascii="Calibri" w:hAnsi="Calibri" w:cs="Calibri"/>
          <w:b/>
          <w:bCs/>
        </w:rPr>
        <w:t>FNEC-FP FO</w:t>
      </w:r>
      <w:r>
        <w:rPr>
          <w:rFonts w:ascii="Calibri" w:hAnsi="Calibri" w:cs="Calibri"/>
        </w:rPr>
        <w:t xml:space="preserve"> exige l’intégration des AED, des AESH et des APSH au statut de fonctionnaires de la</w:t>
      </w:r>
      <w:r w:rsidR="00704E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Fonction publique d’État afin que tous puissent bénéficier de l’ensemble des prestations</w:t>
      </w:r>
      <w:r w:rsidR="00BF7A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sociales.</w:t>
      </w:r>
    </w:p>
    <w:p w14:paraId="518B1E31" w14:textId="77777777" w:rsidR="00F21E51" w:rsidRDefault="00F21E51">
      <w:pPr>
        <w:jc w:val="both"/>
        <w:rPr>
          <w:rFonts w:ascii="Calibri" w:hAnsi="Calibri" w:cs="Calibri"/>
        </w:rPr>
      </w:pPr>
    </w:p>
    <w:p w14:paraId="61120F52" w14:textId="77777777" w:rsidR="00F21E51" w:rsidRDefault="00BD03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Nous vous remercions pour votre attention.</w:t>
      </w:r>
    </w:p>
    <w:p w14:paraId="0CE2AE9C" w14:textId="77777777" w:rsidR="00F21E51" w:rsidRDefault="00F21E51">
      <w:pPr>
        <w:jc w:val="both"/>
        <w:rPr>
          <w:rFonts w:ascii="Calibri" w:hAnsi="Calibri" w:cs="Calibri"/>
        </w:rPr>
      </w:pPr>
    </w:p>
    <w:p w14:paraId="6F5146C6" w14:textId="77777777" w:rsidR="00F21E51" w:rsidRDefault="00F21E51">
      <w:pPr>
        <w:jc w:val="both"/>
        <w:rPr>
          <w:rFonts w:ascii="Calibri" w:hAnsi="Calibri" w:cs="Calibri"/>
        </w:rPr>
      </w:pPr>
    </w:p>
    <w:p w14:paraId="1C150B4C" w14:textId="77777777" w:rsidR="00F21E51" w:rsidRDefault="00BD038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la </w:t>
      </w:r>
      <w:r>
        <w:rPr>
          <w:rFonts w:ascii="Calibri" w:hAnsi="Calibri" w:cs="Calibri"/>
          <w:b/>
          <w:bCs/>
          <w:color w:val="C00000"/>
        </w:rPr>
        <w:t>FNEC FP-FO</w:t>
      </w:r>
      <w:r>
        <w:rPr>
          <w:rFonts w:ascii="Calibri" w:hAnsi="Calibri" w:cs="Calibri"/>
          <w:color w:val="C00000"/>
        </w:rPr>
        <w:t>,</w:t>
      </w:r>
      <w:r>
        <w:rPr>
          <w:rFonts w:ascii="Calibri" w:hAnsi="Calibri" w:cs="Calibri"/>
        </w:rPr>
        <w:br/>
        <w:t>Jacques POUSSE et Nicolas Robert</w:t>
      </w:r>
    </w:p>
    <w:p w14:paraId="6E5F35B4" w14:textId="77777777" w:rsidR="00F21E51" w:rsidRDefault="00F21E51">
      <w:pPr>
        <w:rPr>
          <w:rFonts w:ascii="Calibri" w:hAnsi="Calibri" w:cs="Calibri"/>
        </w:rPr>
      </w:pPr>
    </w:p>
    <w:sectPr w:rsidR="00F21E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53F"/>
    <w:multiLevelType w:val="hybridMultilevel"/>
    <w:tmpl w:val="045C88F0"/>
    <w:lvl w:ilvl="0" w:tplc="EAF43A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DBA4A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AF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F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5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E4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6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D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4B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2030"/>
    <w:multiLevelType w:val="hybridMultilevel"/>
    <w:tmpl w:val="ED961BDE"/>
    <w:lvl w:ilvl="0" w:tplc="9380181E"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93081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88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41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A9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28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02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EA9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CD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29C9"/>
    <w:multiLevelType w:val="hybridMultilevel"/>
    <w:tmpl w:val="881AE7D0"/>
    <w:lvl w:ilvl="0" w:tplc="A1CA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F94E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82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28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2D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06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CB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C1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CE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D5744"/>
    <w:multiLevelType w:val="multilevel"/>
    <w:tmpl w:val="1E9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B2F09"/>
    <w:multiLevelType w:val="multilevel"/>
    <w:tmpl w:val="623C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667E7"/>
    <w:multiLevelType w:val="hybridMultilevel"/>
    <w:tmpl w:val="9DC87CE0"/>
    <w:lvl w:ilvl="0" w:tplc="127EE9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AAA0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AD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E5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44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0F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E0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C9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4F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84869">
    <w:abstractNumId w:val="5"/>
  </w:num>
  <w:num w:numId="2" w16cid:durableId="1645431589">
    <w:abstractNumId w:val="1"/>
  </w:num>
  <w:num w:numId="3" w16cid:durableId="913514470">
    <w:abstractNumId w:val="3"/>
  </w:num>
  <w:num w:numId="4" w16cid:durableId="868107516">
    <w:abstractNumId w:val="4"/>
  </w:num>
  <w:num w:numId="5" w16cid:durableId="807360556">
    <w:abstractNumId w:val="0"/>
  </w:num>
  <w:num w:numId="6" w16cid:durableId="778911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11"/>
    <w:rsid w:val="00002DE1"/>
    <w:rsid w:val="00026DA2"/>
    <w:rsid w:val="000D2D17"/>
    <w:rsid w:val="0014405B"/>
    <w:rsid w:val="00153E01"/>
    <w:rsid w:val="00195CA7"/>
    <w:rsid w:val="001A6B11"/>
    <w:rsid w:val="001C7DEB"/>
    <w:rsid w:val="00227BC5"/>
    <w:rsid w:val="002374D4"/>
    <w:rsid w:val="00264A08"/>
    <w:rsid w:val="00265B82"/>
    <w:rsid w:val="00273A7C"/>
    <w:rsid w:val="00285A77"/>
    <w:rsid w:val="0029586E"/>
    <w:rsid w:val="002F2DF9"/>
    <w:rsid w:val="00316375"/>
    <w:rsid w:val="003929B5"/>
    <w:rsid w:val="003B6149"/>
    <w:rsid w:val="003C74EE"/>
    <w:rsid w:val="004051F4"/>
    <w:rsid w:val="00406BCD"/>
    <w:rsid w:val="004072B1"/>
    <w:rsid w:val="00430CD3"/>
    <w:rsid w:val="00436EB4"/>
    <w:rsid w:val="00457B48"/>
    <w:rsid w:val="004923C6"/>
    <w:rsid w:val="004A557F"/>
    <w:rsid w:val="004B6C39"/>
    <w:rsid w:val="004C06B6"/>
    <w:rsid w:val="004C1A09"/>
    <w:rsid w:val="005126F7"/>
    <w:rsid w:val="005173B1"/>
    <w:rsid w:val="00567129"/>
    <w:rsid w:val="0057091C"/>
    <w:rsid w:val="005A6F1A"/>
    <w:rsid w:val="00624FDF"/>
    <w:rsid w:val="006872A8"/>
    <w:rsid w:val="00694016"/>
    <w:rsid w:val="006B4132"/>
    <w:rsid w:val="006B7D97"/>
    <w:rsid w:val="006C4A0E"/>
    <w:rsid w:val="00704EC0"/>
    <w:rsid w:val="00710CAE"/>
    <w:rsid w:val="007A77D9"/>
    <w:rsid w:val="007C61E6"/>
    <w:rsid w:val="007D6CAC"/>
    <w:rsid w:val="007E6260"/>
    <w:rsid w:val="00845040"/>
    <w:rsid w:val="00891E57"/>
    <w:rsid w:val="00892119"/>
    <w:rsid w:val="008D41F9"/>
    <w:rsid w:val="009610DA"/>
    <w:rsid w:val="009A513D"/>
    <w:rsid w:val="009B4377"/>
    <w:rsid w:val="00AB69B9"/>
    <w:rsid w:val="00B13CD4"/>
    <w:rsid w:val="00B45853"/>
    <w:rsid w:val="00B57E56"/>
    <w:rsid w:val="00B6299F"/>
    <w:rsid w:val="00B67DE4"/>
    <w:rsid w:val="00B771DB"/>
    <w:rsid w:val="00B8434A"/>
    <w:rsid w:val="00BD0380"/>
    <w:rsid w:val="00BD741B"/>
    <w:rsid w:val="00BF7A25"/>
    <w:rsid w:val="00C23603"/>
    <w:rsid w:val="00C27E0A"/>
    <w:rsid w:val="00C515EF"/>
    <w:rsid w:val="00C85F22"/>
    <w:rsid w:val="00CD5846"/>
    <w:rsid w:val="00CF7BD4"/>
    <w:rsid w:val="00D04867"/>
    <w:rsid w:val="00D830FB"/>
    <w:rsid w:val="00DA04C5"/>
    <w:rsid w:val="00DE47CF"/>
    <w:rsid w:val="00DF39C1"/>
    <w:rsid w:val="00E632AC"/>
    <w:rsid w:val="00E70C2F"/>
    <w:rsid w:val="00E772AB"/>
    <w:rsid w:val="00E905BB"/>
    <w:rsid w:val="00E97670"/>
    <w:rsid w:val="00ED42D4"/>
    <w:rsid w:val="00ED78F0"/>
    <w:rsid w:val="00EE7EDB"/>
    <w:rsid w:val="00EF7F22"/>
    <w:rsid w:val="00F01AF7"/>
    <w:rsid w:val="00F11AE0"/>
    <w:rsid w:val="00F175CF"/>
    <w:rsid w:val="00F21E51"/>
    <w:rsid w:val="00F3427C"/>
    <w:rsid w:val="00F61504"/>
    <w:rsid w:val="00FA24E3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D9F7"/>
  <w15:chartTrackingRefBased/>
  <w15:docId w15:val="{C236BD2C-B338-4586-ABA6-9E9E56FB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C0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Accentuationlgre">
    <w:name w:val="Subtle Emphasis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156082" w:themeColor="accent1"/>
    </w:rPr>
  </w:style>
  <w:style w:type="character" w:styleId="Rfrencelgre">
    <w:name w:val="Subtle Reference"/>
    <w:uiPriority w:val="31"/>
    <w:qFormat/>
    <w:rPr>
      <w:smallCaps/>
      <w:color w:val="E97132" w:themeColor="accent2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50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9FA-4881-4F0F-994F-7A9DF638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1092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POUSSE</dc:creator>
  <cp:lastModifiedBy>Jacques POUSSE</cp:lastModifiedBy>
  <cp:revision>3</cp:revision>
  <dcterms:created xsi:type="dcterms:W3CDTF">2026-02-02T12:47:00Z</dcterms:created>
  <dcterms:modified xsi:type="dcterms:W3CDTF">2026-02-02T12:49:00Z</dcterms:modified>
</cp:coreProperties>
</file>