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3C0F" w14:textId="31AB1EFE" w:rsidR="007D6D56" w:rsidRPr="007D6D56" w:rsidRDefault="007D6D56" w:rsidP="005D12BA">
      <w:pPr>
        <w:pStyle w:val="Titre5"/>
        <w:pBdr>
          <w:top w:val="single" w:sz="4" w:space="1" w:color="auto"/>
          <w:left w:val="single" w:sz="4" w:space="4" w:color="auto"/>
          <w:bottom w:val="single" w:sz="4" w:space="1" w:color="auto"/>
          <w:right w:val="single" w:sz="4" w:space="4" w:color="auto"/>
        </w:pBdr>
        <w:rPr>
          <w:color w:val="FF0000"/>
        </w:rPr>
      </w:pPr>
      <w:r w:rsidRPr="007E1229">
        <w:t>DEPARTEMENT :</w:t>
      </w:r>
      <w:r w:rsidRPr="00E20146">
        <w:t> </w:t>
      </w:r>
      <w:r w:rsidR="006C70B2">
        <w:t>BAS-RHIN</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7C142F4E"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w:t>
      </w:r>
      <w:r w:rsidR="00EF2679" w:rsidRPr="006C70B2">
        <w:rPr>
          <w:rFonts w:ascii="Arial" w:hAnsi="Arial" w:cs="Arial"/>
          <w:b/>
          <w:color w:val="FF0000"/>
          <w:sz w:val="16"/>
          <w:highlight w:val="yellow"/>
        </w:rPr>
        <w:t> :</w:t>
      </w:r>
      <w:r w:rsidR="00DD5A46" w:rsidRPr="006C70B2">
        <w:rPr>
          <w:rFonts w:ascii="Arial" w:hAnsi="Arial" w:cs="Arial"/>
          <w:b/>
          <w:color w:val="FF0000"/>
          <w:sz w:val="16"/>
        </w:rPr>
        <w:t xml:space="preserve"> </w:t>
      </w:r>
      <w:r w:rsidR="006C70B2" w:rsidRPr="006C70B2">
        <w:rPr>
          <w:rFonts w:ascii="Arial" w:hAnsi="Arial" w:cs="Arial"/>
          <w:b/>
          <w:color w:val="FF0000"/>
          <w:sz w:val="16"/>
        </w:rPr>
        <w:t xml:space="preserve"> </w:t>
      </w:r>
      <w:r w:rsidR="006C70B2" w:rsidRPr="00E05E40">
        <w:rPr>
          <w:rFonts w:ascii="Arial" w:hAnsi="Arial" w:cs="Arial"/>
          <w:b/>
          <w:sz w:val="16"/>
          <w:u w:val="single"/>
        </w:rPr>
        <w:t>mouvement.1d67@ac-strasbourg.fr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 xml:space="preserve">arié(e) </w:t>
      </w:r>
      <w:r w:rsidR="0047250C">
        <w:rPr>
          <w:rFonts w:ascii="Arial" w:hAnsi="Arial" w:cs="Arial"/>
        </w:rPr>
        <w:t xml:space="preserve">  </w:t>
      </w:r>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sz w:val="24"/>
                              </w:rPr>
                              <w:id w:val="-1106037047"/>
                              <w:placeholder>
                                <w:docPart w:val="006A205FFECE4341AE6DA1A98652A1E6"/>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3870CF47" w:rsidR="0035608B" w:rsidRPr="0035608B" w:rsidRDefault="004422F4" w:rsidP="002C64CC">
                                <w:pPr>
                                  <w:jc w:val="center"/>
                                </w:pPr>
                                <w:r w:rsidRPr="00533E8C">
                                  <w:rPr>
                                    <w:rStyle w:val="Textedelespacerserv"/>
                                    <w:rFonts w:eastAsiaTheme="minorHAnsi"/>
                                  </w:rPr>
                                  <w:t>Choisissez un élément.</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inapte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autre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suite à une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61302FFC"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E84078"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Changement suite à</w:t>
            </w:r>
            <w:r w:rsidR="00D47B5F">
              <w:rPr>
                <w:rFonts w:ascii="Arial" w:hAnsi="Arial" w:cs="Arial"/>
                <w:sz w:val="18"/>
                <w:szCs w:val="16"/>
              </w:rPr>
              <w:t xml:space="preserve"> un</w:t>
            </w:r>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suite à</w:t>
            </w:r>
            <w:r>
              <w:rPr>
                <w:rFonts w:ascii="Arial" w:hAnsi="Arial" w:cs="Arial"/>
                <w:sz w:val="18"/>
                <w:szCs w:val="16"/>
              </w:rPr>
              <w:t xml:space="preserve"> une</w:t>
            </w:r>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E84078"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r w:rsidR="00D47B5F" w:rsidRPr="00E463EC">
              <w:rPr>
                <w:rFonts w:ascii="Arial" w:hAnsi="Arial" w:cs="Arial"/>
                <w:sz w:val="22"/>
                <w:szCs w:val="22"/>
              </w:rPr>
              <w:t xml:space="preserve">-  barème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xml:space="preserve"> (deux cas):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E84078"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E84078"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½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E84078"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2E2C13C0"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La décision est prise par le DASEN après avis de la médecine de prévention. Le dossier pour obtenir cette bon</w:t>
            </w:r>
            <w:r w:rsidR="00EE021F">
              <w:rPr>
                <w:rFonts w:ascii="Arial" w:hAnsi="Arial" w:cs="Arial"/>
                <w:sz w:val="18"/>
                <w:szCs w:val="18"/>
              </w:rPr>
              <w:t>i</w:t>
            </w:r>
            <w:r w:rsidRPr="00445C9D">
              <w:rPr>
                <w:rFonts w:ascii="Arial" w:hAnsi="Arial" w:cs="Arial"/>
                <w:sz w:val="18"/>
                <w:szCs w:val="18"/>
              </w:rPr>
              <w:t xml:space="preserve">fication est téléchargeable sur la page dédiée </w:t>
            </w:r>
            <w:proofErr w:type="gramStart"/>
            <w:r w:rsidRPr="00445C9D">
              <w:rPr>
                <w:rFonts w:ascii="Arial" w:hAnsi="Arial" w:cs="Arial"/>
                <w:sz w:val="18"/>
                <w:szCs w:val="18"/>
              </w:rPr>
              <w:t>au mutations</w:t>
            </w:r>
            <w:proofErr w:type="gramEnd"/>
            <w:r w:rsidRPr="00445C9D">
              <w:rPr>
                <w:rFonts w:ascii="Arial" w:hAnsi="Arial" w:cs="Arial"/>
                <w:sz w:val="18"/>
                <w:szCs w:val="18"/>
              </w:rPr>
              <w:t xml:space="preserve">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E84078"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l'enseignant  </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E84078"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E84078"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E84078"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lastRenderedPageBreak/>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MAYOTTE : les enseignants affectés à Mayotte suite à une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Pour le département de la GUYANE : les enseignants, affectés en Guyane suite à une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headerReference w:type="default" r:id="rId14"/>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524D3" w14:textId="77777777" w:rsidR="009D70A1" w:rsidRDefault="009D70A1" w:rsidP="00AC4D83">
    <w:pPr>
      <w:pStyle w:val="En-tte"/>
      <w:tabs>
        <w:tab w:val="clear" w:pos="4536"/>
      </w:tabs>
      <w:jc w:val="right"/>
      <w:rPr>
        <w:b/>
        <w:bCs/>
        <w:sz w:val="24"/>
        <w:szCs w:val="24"/>
      </w:rPr>
    </w:pPr>
  </w:p>
  <w:p w14:paraId="4C983FE8" w14:textId="2DE3E36E" w:rsidR="005F6363" w:rsidRDefault="005F6363" w:rsidP="005F6363">
    <w:pPr>
      <w:pStyle w:val="En-tte"/>
      <w:tabs>
        <w:tab w:val="clear" w:pos="4536"/>
      </w:tabs>
      <w:jc w:val="right"/>
      <w:rPr>
        <w:b/>
        <w:bCs/>
        <w:sz w:val="24"/>
        <w:szCs w:val="24"/>
      </w:rPr>
    </w:pPr>
    <w:r>
      <w:rPr>
        <w:b/>
        <w:bCs/>
        <w:sz w:val="24"/>
        <w:szCs w:val="24"/>
      </w:rPr>
      <w:tab/>
    </w:r>
    <w:r>
      <w:rPr>
        <w:b/>
        <w:bCs/>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56795987">
    <w:abstractNumId w:val="4"/>
  </w:num>
  <w:num w:numId="2" w16cid:durableId="1523780120">
    <w:abstractNumId w:val="0"/>
  </w:num>
  <w:num w:numId="3" w16cid:durableId="1425146046">
    <w:abstractNumId w:val="2"/>
  </w:num>
  <w:num w:numId="4" w16cid:durableId="532616241">
    <w:abstractNumId w:val="6"/>
  </w:num>
  <w:num w:numId="5" w16cid:durableId="8332693">
    <w:abstractNumId w:val="3"/>
  </w:num>
  <w:num w:numId="6" w16cid:durableId="1884245687">
    <w:abstractNumId w:val="7"/>
  </w:num>
  <w:num w:numId="7" w16cid:durableId="2068021066">
    <w:abstractNumId w:val="1"/>
  </w:num>
  <w:num w:numId="8" w16cid:durableId="1958291514">
    <w:abstractNumId w:val="1"/>
    <w:lvlOverride w:ilvl="0">
      <w:startOverride w:val="1"/>
    </w:lvlOverride>
  </w:num>
  <w:num w:numId="9" w16cid:durableId="1117410260">
    <w:abstractNumId w:val="1"/>
    <w:lvlOverride w:ilvl="0">
      <w:startOverride w:val="1"/>
    </w:lvlOverride>
  </w:num>
  <w:num w:numId="10" w16cid:durableId="1157652098">
    <w:abstractNumId w:val="1"/>
    <w:lvlOverride w:ilvl="0">
      <w:startOverride w:val="1"/>
    </w:lvlOverride>
  </w:num>
  <w:num w:numId="11" w16cid:durableId="1730306893">
    <w:abstractNumId w:val="1"/>
    <w:lvlOverride w:ilvl="0">
      <w:startOverride w:val="1"/>
    </w:lvlOverride>
  </w:num>
  <w:num w:numId="12" w16cid:durableId="29378150">
    <w:abstractNumId w:val="1"/>
    <w:lvlOverride w:ilvl="0">
      <w:startOverride w:val="1"/>
    </w:lvlOverride>
  </w:num>
  <w:num w:numId="13" w16cid:durableId="954482477">
    <w:abstractNumId w:val="8"/>
  </w:num>
  <w:num w:numId="14" w16cid:durableId="1696149977">
    <w:abstractNumId w:val="5"/>
  </w:num>
  <w:num w:numId="15" w16cid:durableId="256906814">
    <w:abstractNumId w:val="1"/>
    <w:lvlOverride w:ilvl="0">
      <w:startOverride w:val="1"/>
    </w:lvlOverride>
  </w:num>
  <w:num w:numId="16" w16cid:durableId="130950219">
    <w:abstractNumId w:val="1"/>
    <w:lvlOverride w:ilvl="0">
      <w:startOverride w:val="1"/>
    </w:lvlOverride>
  </w:num>
  <w:num w:numId="17" w16cid:durableId="2081173086">
    <w:abstractNumId w:val="1"/>
    <w:lvlOverride w:ilvl="0">
      <w:startOverride w:val="1"/>
    </w:lvlOverride>
  </w:num>
  <w:num w:numId="18" w16cid:durableId="421075418">
    <w:abstractNumId w:val="1"/>
    <w:lvlOverride w:ilvl="0">
      <w:startOverride w:val="1"/>
    </w:lvlOverride>
  </w:num>
  <w:num w:numId="19" w16cid:durableId="8278684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formatting="1"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767D9"/>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E2CEE"/>
    <w:rsid w:val="001F6B23"/>
    <w:rsid w:val="0020271D"/>
    <w:rsid w:val="00210CC7"/>
    <w:rsid w:val="00224E45"/>
    <w:rsid w:val="00234986"/>
    <w:rsid w:val="00235280"/>
    <w:rsid w:val="00243F88"/>
    <w:rsid w:val="00281D39"/>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91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5F6363"/>
    <w:rsid w:val="00617E82"/>
    <w:rsid w:val="00634C1D"/>
    <w:rsid w:val="00636E80"/>
    <w:rsid w:val="006A3ECF"/>
    <w:rsid w:val="006C5E19"/>
    <w:rsid w:val="006C70B2"/>
    <w:rsid w:val="006D149F"/>
    <w:rsid w:val="006E3055"/>
    <w:rsid w:val="00707A7A"/>
    <w:rsid w:val="007333D9"/>
    <w:rsid w:val="0074248A"/>
    <w:rsid w:val="00754903"/>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013E"/>
    <w:rsid w:val="00876959"/>
    <w:rsid w:val="00877B3E"/>
    <w:rsid w:val="008935C5"/>
    <w:rsid w:val="008A5BB6"/>
    <w:rsid w:val="008C4A49"/>
    <w:rsid w:val="008C5541"/>
    <w:rsid w:val="008D4087"/>
    <w:rsid w:val="008E2752"/>
    <w:rsid w:val="008F3F0A"/>
    <w:rsid w:val="00904412"/>
    <w:rsid w:val="0091127E"/>
    <w:rsid w:val="009154B5"/>
    <w:rsid w:val="00917EC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6265"/>
    <w:rsid w:val="00AC0FD2"/>
    <w:rsid w:val="00AC4D83"/>
    <w:rsid w:val="00AC6216"/>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15497"/>
    <w:rsid w:val="00D353FF"/>
    <w:rsid w:val="00D47B5F"/>
    <w:rsid w:val="00D6098F"/>
    <w:rsid w:val="00D633EF"/>
    <w:rsid w:val="00D92BCF"/>
    <w:rsid w:val="00D93C14"/>
    <w:rsid w:val="00DA185A"/>
    <w:rsid w:val="00DC6F92"/>
    <w:rsid w:val="00DD007B"/>
    <w:rsid w:val="00DD4B18"/>
    <w:rsid w:val="00DD5A46"/>
    <w:rsid w:val="00DE5EE8"/>
    <w:rsid w:val="00DF677C"/>
    <w:rsid w:val="00E20146"/>
    <w:rsid w:val="00E22B87"/>
    <w:rsid w:val="00E26254"/>
    <w:rsid w:val="00E3219E"/>
    <w:rsid w:val="00E33D4D"/>
    <w:rsid w:val="00E463EC"/>
    <w:rsid w:val="00E56B90"/>
    <w:rsid w:val="00E77ABF"/>
    <w:rsid w:val="00E84078"/>
    <w:rsid w:val="00E90812"/>
    <w:rsid w:val="00E92F19"/>
    <w:rsid w:val="00EA32A7"/>
    <w:rsid w:val="00EA50B7"/>
    <w:rsid w:val="00EA5B5B"/>
    <w:rsid w:val="00EB08F0"/>
    <w:rsid w:val="00EB1E3D"/>
    <w:rsid w:val="00EB6612"/>
    <w:rsid w:val="00EE021F"/>
    <w:rsid w:val="00EF2679"/>
    <w:rsid w:val="00F13223"/>
    <w:rsid w:val="00F3511C"/>
    <w:rsid w:val="00F42B40"/>
    <w:rsid w:val="00F4750D"/>
    <w:rsid w:val="00F535BB"/>
    <w:rsid w:val="00F53729"/>
    <w:rsid w:val="00F84569"/>
    <w:rsid w:val="00F85462"/>
    <w:rsid w:val="00F900F5"/>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pkrempp\AppData\Local\Temp\pid-13384\(https:\www.education.gouv.fr\mutation-des-personnels-enseignants-du-premier-degre-549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roman"/>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0767D9"/>
    <w:rsid w:val="00222AD4"/>
    <w:rsid w:val="00281D39"/>
    <w:rsid w:val="004445A4"/>
    <w:rsid w:val="004A5B00"/>
    <w:rsid w:val="005764B2"/>
    <w:rsid w:val="005C01FE"/>
    <w:rsid w:val="0063166C"/>
    <w:rsid w:val="006831CD"/>
    <w:rsid w:val="00790C1B"/>
    <w:rsid w:val="00860BEB"/>
    <w:rsid w:val="008B462D"/>
    <w:rsid w:val="00A436A5"/>
    <w:rsid w:val="00A913A0"/>
    <w:rsid w:val="00E33D4D"/>
    <w:rsid w:val="00E92F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2.xml><?xml version="1.0" encoding="utf-8"?>
<ds:datastoreItem xmlns:ds="http://schemas.openxmlformats.org/officeDocument/2006/customXml" ds:itemID="{2891C18F-753C-448A-B359-9553D99890E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8DF9EF-A7E6-4524-870B-1FE3A082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1812</Words>
  <Characters>9972</Characters>
  <Application>Microsoft Office Word</Application>
  <DocSecurity>4</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Peggy Krempp-Archer</cp:lastModifiedBy>
  <cp:revision>2</cp:revision>
  <cp:lastPrinted>2025-03-11T09:44:00Z</cp:lastPrinted>
  <dcterms:created xsi:type="dcterms:W3CDTF">2025-03-17T12:31:00Z</dcterms:created>
  <dcterms:modified xsi:type="dcterms:W3CDTF">2025-03-17T12:31:00Z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