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Look w:val="0620" w:firstRow="1" w:lastRow="0" w:firstColumn="0" w:lastColumn="0" w:noHBand="1" w:noVBand="1"/>
      </w:tblPr>
      <w:tblGrid>
        <w:gridCol w:w="7698"/>
        <w:gridCol w:w="7690"/>
      </w:tblGrid>
      <w:tr w:rsidR="003633F3" w:rsidRPr="00912AE6" w:rsidTr="00FD6D09">
        <w:trPr>
          <w:tblHeader/>
          <w:jc w:val="center"/>
        </w:trPr>
        <w:tc>
          <w:tcPr>
            <w:tcW w:w="7698" w:type="dxa"/>
            <w:shd w:val="clear" w:color="auto" w:fill="8DB3E2" w:themeFill="text2" w:themeFillTint="66"/>
          </w:tcPr>
          <w:p w:rsidR="00912AE6" w:rsidRPr="0009239D" w:rsidRDefault="00912AE6" w:rsidP="00A57B97">
            <w:pPr>
              <w:widowControl w:val="0"/>
              <w:spacing w:before="120" w:after="120"/>
              <w:jc w:val="center"/>
              <w:rPr>
                <w:b/>
              </w:rPr>
            </w:pPr>
            <w:bookmarkStart w:id="0" w:name="_Hlk60660976"/>
            <w:r w:rsidRPr="0009239D">
              <w:rPr>
                <w:b/>
              </w:rPr>
              <w:t>AVIS</w:t>
            </w:r>
          </w:p>
        </w:tc>
        <w:tc>
          <w:tcPr>
            <w:tcW w:w="7690" w:type="dxa"/>
            <w:shd w:val="clear" w:color="auto" w:fill="8DB3E2" w:themeFill="text2" w:themeFillTint="66"/>
          </w:tcPr>
          <w:p w:rsidR="00912AE6" w:rsidRPr="00912AE6" w:rsidRDefault="00912AE6" w:rsidP="00912AE6">
            <w:pPr>
              <w:spacing w:before="120" w:after="120"/>
              <w:jc w:val="center"/>
              <w:rPr>
                <w:b/>
              </w:rPr>
            </w:pPr>
            <w:r w:rsidRPr="00912AE6">
              <w:rPr>
                <w:b/>
              </w:rPr>
              <w:t>Suites données par l’administration</w:t>
            </w:r>
          </w:p>
        </w:tc>
      </w:tr>
      <w:bookmarkEnd w:id="0"/>
      <w:tr w:rsidR="003A7CFE" w:rsidRPr="00ED6902" w:rsidTr="00FD6D09">
        <w:trPr>
          <w:jc w:val="center"/>
        </w:trPr>
        <w:tc>
          <w:tcPr>
            <w:tcW w:w="7698" w:type="dxa"/>
            <w:shd w:val="clear" w:color="auto" w:fill="auto"/>
          </w:tcPr>
          <w:p w:rsidR="00C855C8" w:rsidRDefault="00C855C8" w:rsidP="008B35D0">
            <w:pPr>
              <w:ind w:left="113" w:right="113"/>
              <w:rPr>
                <w:rFonts w:eastAsia="Times New Roman" w:cstheme="minorHAnsi"/>
                <w:b/>
                <w:lang w:eastAsia="fr-FR"/>
              </w:rPr>
            </w:pPr>
            <w:r w:rsidRPr="00C855C8">
              <w:rPr>
                <w:rFonts w:eastAsia="Times New Roman" w:cstheme="minorHAnsi"/>
                <w:b/>
                <w:lang w:eastAsia="fr-FR"/>
              </w:rPr>
              <w:t>Avis 2021-05-20 n°1</w:t>
            </w:r>
          </w:p>
          <w:p w:rsidR="00C855C8" w:rsidRPr="00C855C8" w:rsidRDefault="00C855C8" w:rsidP="008B35D0">
            <w:pPr>
              <w:ind w:left="113" w:right="113"/>
              <w:rPr>
                <w:rFonts w:eastAsia="Times New Roman" w:cstheme="minorHAnsi"/>
                <w:b/>
                <w:lang w:eastAsia="fr-FR"/>
              </w:rPr>
            </w:pPr>
          </w:p>
          <w:p w:rsidR="00C855C8" w:rsidRPr="00C855C8" w:rsidRDefault="00C855C8" w:rsidP="008B35D0">
            <w:pPr>
              <w:ind w:left="113" w:right="113"/>
              <w:rPr>
                <w:rStyle w:val="fontstyle21"/>
                <w:rFonts w:asciiTheme="minorHAnsi" w:hAnsiTheme="minorHAnsi" w:cstheme="minorHAnsi"/>
                <w:sz w:val="22"/>
                <w:szCs w:val="22"/>
              </w:rPr>
            </w:pPr>
            <w:r w:rsidRPr="00C855C8">
              <w:rPr>
                <w:rStyle w:val="fontstyle21"/>
                <w:rFonts w:asciiTheme="minorHAnsi" w:hAnsiTheme="minorHAnsi" w:cstheme="minorHAnsi"/>
                <w:sz w:val="22"/>
                <w:szCs w:val="22"/>
              </w:rPr>
              <w:t>Alors que la FAQ du 23 avril précisait que les activités aquatiques étaient</w:t>
            </w:r>
            <w:r w:rsidRPr="00C855C8">
              <w:rPr>
                <w:rFonts w:cstheme="minorHAnsi"/>
              </w:rPr>
              <w:br/>
            </w:r>
            <w:r w:rsidRPr="00C855C8">
              <w:rPr>
                <w:rStyle w:val="fontstyle21"/>
                <w:rFonts w:asciiTheme="minorHAnsi" w:hAnsiTheme="minorHAnsi" w:cstheme="minorHAnsi"/>
                <w:sz w:val="22"/>
                <w:szCs w:val="22"/>
              </w:rPr>
              <w:t>interdites, la FAQ du 1er mai les rend à nouveau possible. Etant donné les contraintes liées à cette activité qui peuvent remettre en cause les conditions de travail et les risques de contamination, le CHSCTD demande au DASEN de laisser aux conseils des maîtres la décision d'aller ou non à la piscine en cette fin de période.</w:t>
            </w:r>
          </w:p>
          <w:p w:rsidR="00C606AB" w:rsidRPr="00C855C8" w:rsidRDefault="00C606AB" w:rsidP="008B35D0">
            <w:pPr>
              <w:spacing w:after="160" w:line="259" w:lineRule="auto"/>
              <w:ind w:left="113" w:right="113"/>
              <w:rPr>
                <w:rFonts w:cstheme="minorHAnsi"/>
              </w:rPr>
            </w:pPr>
          </w:p>
        </w:tc>
        <w:tc>
          <w:tcPr>
            <w:tcW w:w="7690" w:type="dxa"/>
            <w:vAlign w:val="center"/>
          </w:tcPr>
          <w:p w:rsidR="001B6D8D" w:rsidRPr="00E164BC" w:rsidRDefault="00E164BC" w:rsidP="00E164BC">
            <w:pPr>
              <w:ind w:left="113" w:right="113"/>
            </w:pPr>
            <w:r>
              <w:t xml:space="preserve">Il s’agit de concilier à la foi l’exigence de conduire pour nos élèves les apprentissages du savoir nager tout en garantissant la sécurité sanitaire des élèves et des personnels. A la rentrée 2021, les piscines sont ouvertes et les activités aquatiques sont rendues possibles dans le cadre d’un protocole sanitaire strict. Les équipes des circonscriptions et notamment les conseillers pédagogiques en charge de l’EPS sont là pour accompagner les enseignants dans la mise en œuvre de cet enseignement en s’adaptant aux particularités des différents sites, selon des groupes accueillis et les encadrants disponibles. </w:t>
            </w:r>
          </w:p>
        </w:tc>
      </w:tr>
      <w:tr w:rsidR="003A7CFE" w:rsidRPr="00ED6902" w:rsidTr="00FD6D09">
        <w:trPr>
          <w:jc w:val="center"/>
        </w:trPr>
        <w:tc>
          <w:tcPr>
            <w:tcW w:w="7698" w:type="dxa"/>
            <w:shd w:val="clear" w:color="auto" w:fill="auto"/>
          </w:tcPr>
          <w:p w:rsidR="00C855C8" w:rsidRDefault="00C855C8" w:rsidP="008B35D0">
            <w:pPr>
              <w:ind w:left="113" w:right="113"/>
              <w:rPr>
                <w:rFonts w:eastAsia="Times New Roman" w:cstheme="minorHAnsi"/>
                <w:b/>
                <w:lang w:eastAsia="fr-FR"/>
              </w:rPr>
            </w:pPr>
            <w:r w:rsidRPr="00C855C8">
              <w:rPr>
                <w:rFonts w:eastAsia="Times New Roman" w:cstheme="minorHAnsi"/>
                <w:b/>
                <w:lang w:eastAsia="fr-FR"/>
              </w:rPr>
              <w:t>Avis 2021-05-20 n°2</w:t>
            </w:r>
          </w:p>
          <w:p w:rsidR="00C855C8" w:rsidRPr="00C855C8" w:rsidRDefault="00C855C8" w:rsidP="008B35D0">
            <w:pPr>
              <w:ind w:left="113" w:right="113"/>
              <w:rPr>
                <w:rFonts w:eastAsia="Times New Roman" w:cstheme="minorHAnsi"/>
                <w:b/>
                <w:lang w:eastAsia="fr-FR"/>
              </w:rPr>
            </w:pPr>
          </w:p>
          <w:p w:rsidR="00C855C8" w:rsidRPr="00C855C8" w:rsidRDefault="00C855C8" w:rsidP="008B35D0">
            <w:pPr>
              <w:ind w:left="113" w:right="113"/>
              <w:rPr>
                <w:rFonts w:cstheme="minorHAnsi"/>
              </w:rPr>
            </w:pPr>
            <w:r w:rsidRPr="00C855C8">
              <w:rPr>
                <w:rFonts w:cstheme="minorHAnsi"/>
              </w:rPr>
              <w:t>Le CHSCTD67 demande à M. l’IA-DASEN de lui confirmer que la demi-jauge est bien la règle suivie dans tous les lycées du département, conformément au protocole sanitaire. Cette règle implique qu’à tout moment le nombre d’élèves en présentiel n’excède pas la moitié des effectifs globaux de l’établissement.</w:t>
            </w:r>
          </w:p>
          <w:p w:rsidR="00CC3CC2" w:rsidRPr="00C855C8" w:rsidRDefault="00CC3CC2" w:rsidP="008B35D0">
            <w:pPr>
              <w:ind w:left="113" w:right="113"/>
              <w:rPr>
                <w:rFonts w:cstheme="minorHAnsi"/>
              </w:rPr>
            </w:pPr>
          </w:p>
        </w:tc>
        <w:tc>
          <w:tcPr>
            <w:tcW w:w="7690" w:type="dxa"/>
            <w:vAlign w:val="center"/>
          </w:tcPr>
          <w:p w:rsidR="00311D6A" w:rsidRPr="0036000A" w:rsidRDefault="00D31084" w:rsidP="008B35D0">
            <w:pPr>
              <w:ind w:left="113" w:right="113"/>
              <w:rPr>
                <w:rFonts w:cstheme="minorHAnsi"/>
                <w:highlight w:val="yellow"/>
              </w:rPr>
            </w:pPr>
            <w:r w:rsidRPr="0036000A">
              <w:rPr>
                <w:rFonts w:cstheme="minorHAnsi"/>
              </w:rPr>
              <w:t xml:space="preserve">Lors du CHSCTD du 20 mai 2021, </w:t>
            </w:r>
            <w:r w:rsidR="00D509B8" w:rsidRPr="0036000A">
              <w:rPr>
                <w:rFonts w:cstheme="minorHAnsi"/>
              </w:rPr>
              <w:t>il a été</w:t>
            </w:r>
            <w:r w:rsidR="00274CEF" w:rsidRPr="0036000A">
              <w:rPr>
                <w:rFonts w:cstheme="minorHAnsi"/>
              </w:rPr>
              <w:t xml:space="preserve"> précisé que globalement, suite à la reprise du 03-05-21, les lycées ont bien fait évoluer leurs conditions d’accueil, en accord avec les consignes de la FAQ, à savoir l’accueil des élèves en demi-jauge en tenant compte de l’effectif global de chaque établissement.</w:t>
            </w:r>
          </w:p>
        </w:tc>
      </w:tr>
      <w:tr w:rsidR="003A7CFE" w:rsidRPr="00ED6902" w:rsidTr="00FD6D09">
        <w:trPr>
          <w:jc w:val="center"/>
        </w:trPr>
        <w:tc>
          <w:tcPr>
            <w:tcW w:w="7698" w:type="dxa"/>
            <w:shd w:val="clear" w:color="auto" w:fill="auto"/>
          </w:tcPr>
          <w:p w:rsidR="00C855C8" w:rsidRDefault="009D01C2" w:rsidP="008B35D0">
            <w:pPr>
              <w:ind w:left="113" w:right="113"/>
              <w:rPr>
                <w:rFonts w:eastAsia="Times New Roman" w:cstheme="minorHAnsi"/>
                <w:b/>
                <w:lang w:eastAsia="fr-FR"/>
              </w:rPr>
            </w:pPr>
            <w:r w:rsidRPr="00C855C8">
              <w:rPr>
                <w:rFonts w:cstheme="minorHAnsi"/>
              </w:rPr>
              <w:br w:type="page"/>
            </w:r>
            <w:r w:rsidR="00C855C8" w:rsidRPr="00C855C8">
              <w:rPr>
                <w:rFonts w:eastAsia="Times New Roman" w:cstheme="minorHAnsi"/>
                <w:b/>
                <w:lang w:eastAsia="fr-FR"/>
              </w:rPr>
              <w:t>Avis 2021-05-20 n°3</w:t>
            </w:r>
          </w:p>
          <w:p w:rsidR="00C855C8" w:rsidRPr="00C855C8" w:rsidRDefault="00C855C8" w:rsidP="008B35D0">
            <w:pPr>
              <w:ind w:left="113" w:right="113"/>
              <w:rPr>
                <w:rFonts w:eastAsia="Times New Roman" w:cstheme="minorHAnsi"/>
                <w:b/>
                <w:lang w:eastAsia="fr-FR"/>
              </w:rPr>
            </w:pPr>
          </w:p>
          <w:p w:rsidR="003A7CFE" w:rsidRDefault="00C855C8" w:rsidP="008B35D0">
            <w:pPr>
              <w:ind w:left="113" w:right="113"/>
              <w:rPr>
                <w:rFonts w:cstheme="minorHAnsi"/>
              </w:rPr>
            </w:pPr>
            <w:r w:rsidRPr="00C855C8">
              <w:rPr>
                <w:rFonts w:cstheme="minorHAnsi"/>
              </w:rPr>
              <w:t>Le CHSCTD67 demande à M. l’IA-DASEN de lui communiquer les raisons qui l’ont conduit à refuser des aménagements de service dans au moins un des collèges du département dans lequel le protocole sanitaire ne pouvait et ne peut toujours pas être appliqué à la cantine. Le CHSCTD67 rappelle que c’est la restauration qui présente les risques les plus grands de contamination en milieu scolaire.</w:t>
            </w:r>
          </w:p>
          <w:p w:rsidR="00C855C8" w:rsidRPr="00C855C8" w:rsidRDefault="00C855C8" w:rsidP="008B35D0">
            <w:pPr>
              <w:ind w:left="113" w:right="113"/>
              <w:rPr>
                <w:rFonts w:cstheme="minorHAnsi"/>
              </w:rPr>
            </w:pPr>
          </w:p>
        </w:tc>
        <w:tc>
          <w:tcPr>
            <w:tcW w:w="7690" w:type="dxa"/>
            <w:vAlign w:val="center"/>
          </w:tcPr>
          <w:p w:rsidR="00944850" w:rsidRDefault="003A7575" w:rsidP="008B35D0">
            <w:pPr>
              <w:ind w:left="113" w:right="113"/>
              <w:rPr>
                <w:rFonts w:cstheme="minorHAnsi"/>
              </w:rPr>
            </w:pPr>
            <w:r>
              <w:rPr>
                <w:rFonts w:cstheme="minorHAnsi"/>
              </w:rPr>
              <w:t xml:space="preserve">Les possibilités d’aménagement de service ont été étudiées en concertation avec les chefs d’établissement, à leur demande, dans deux collèges du département présentant des similitudes en terme de configuration et d’offre de formation. </w:t>
            </w:r>
          </w:p>
          <w:p w:rsidR="003A7575" w:rsidRPr="00E164BC" w:rsidRDefault="003A7575" w:rsidP="003A7575">
            <w:pPr>
              <w:ind w:left="113" w:right="113"/>
              <w:rPr>
                <w:rFonts w:cstheme="minorHAnsi"/>
                <w:highlight w:val="yellow"/>
              </w:rPr>
            </w:pPr>
            <w:r>
              <w:rPr>
                <w:rFonts w:cstheme="minorHAnsi"/>
              </w:rPr>
              <w:t xml:space="preserve">Les solutions envisagées se sont révélées extrêmement contraignantes en termes d’organisation du temps scolaire et n’ont pas été mises en œuvre, la situation sanitaire de ces établissements ne présentant pas de singularité. </w:t>
            </w:r>
            <w:bookmarkStart w:id="1" w:name="_GoBack"/>
            <w:bookmarkEnd w:id="1"/>
          </w:p>
        </w:tc>
      </w:tr>
    </w:tbl>
    <w:p w:rsidR="007F0807" w:rsidRDefault="007F0807" w:rsidP="008B35D0">
      <w:pPr>
        <w:ind w:left="113" w:right="113"/>
      </w:pPr>
      <w:r>
        <w:br w:type="page"/>
      </w:r>
    </w:p>
    <w:tbl>
      <w:tblPr>
        <w:tblStyle w:val="Grilledutableau"/>
        <w:tblW w:w="0" w:type="auto"/>
        <w:jc w:val="center"/>
        <w:tblLook w:val="0620" w:firstRow="1" w:lastRow="0" w:firstColumn="0" w:lastColumn="0" w:noHBand="1" w:noVBand="1"/>
      </w:tblPr>
      <w:tblGrid>
        <w:gridCol w:w="7698"/>
        <w:gridCol w:w="7690"/>
      </w:tblGrid>
      <w:tr w:rsidR="007F0807" w:rsidRPr="00912AE6" w:rsidTr="00956464">
        <w:trPr>
          <w:tblHeader/>
          <w:jc w:val="center"/>
        </w:trPr>
        <w:tc>
          <w:tcPr>
            <w:tcW w:w="7698" w:type="dxa"/>
            <w:shd w:val="clear" w:color="auto" w:fill="8DB3E2" w:themeFill="text2" w:themeFillTint="66"/>
          </w:tcPr>
          <w:p w:rsidR="007F0807" w:rsidRPr="0009239D" w:rsidRDefault="007F0807" w:rsidP="008B35D0">
            <w:pPr>
              <w:widowControl w:val="0"/>
              <w:spacing w:before="120" w:after="120"/>
              <w:ind w:left="113" w:right="113"/>
              <w:rPr>
                <w:b/>
              </w:rPr>
            </w:pPr>
            <w:r w:rsidRPr="0009239D">
              <w:rPr>
                <w:b/>
              </w:rPr>
              <w:lastRenderedPageBreak/>
              <w:t>AVIS</w:t>
            </w:r>
          </w:p>
        </w:tc>
        <w:tc>
          <w:tcPr>
            <w:tcW w:w="7690" w:type="dxa"/>
            <w:shd w:val="clear" w:color="auto" w:fill="8DB3E2" w:themeFill="text2" w:themeFillTint="66"/>
            <w:vAlign w:val="center"/>
          </w:tcPr>
          <w:p w:rsidR="007F0807" w:rsidRPr="00912AE6" w:rsidRDefault="007F0807" w:rsidP="008B35D0">
            <w:pPr>
              <w:spacing w:before="120" w:after="120"/>
              <w:ind w:left="113" w:right="113"/>
              <w:rPr>
                <w:b/>
              </w:rPr>
            </w:pPr>
            <w:r w:rsidRPr="00912AE6">
              <w:rPr>
                <w:b/>
              </w:rPr>
              <w:t>Suites données par l’administration</w:t>
            </w:r>
          </w:p>
        </w:tc>
      </w:tr>
      <w:tr w:rsidR="003A7CFE" w:rsidRPr="00AE62DD" w:rsidTr="00956464">
        <w:trPr>
          <w:jc w:val="center"/>
        </w:trPr>
        <w:tc>
          <w:tcPr>
            <w:tcW w:w="7698" w:type="dxa"/>
            <w:shd w:val="clear" w:color="auto" w:fill="auto"/>
          </w:tcPr>
          <w:p w:rsidR="00C855C8" w:rsidRPr="00C855C8" w:rsidRDefault="009D01C2" w:rsidP="008B35D0">
            <w:pPr>
              <w:ind w:left="113" w:right="113"/>
              <w:rPr>
                <w:rFonts w:eastAsia="Times New Roman" w:cstheme="minorHAnsi"/>
                <w:b/>
                <w:lang w:eastAsia="fr-FR"/>
              </w:rPr>
            </w:pPr>
            <w:r w:rsidRPr="00C855C8">
              <w:rPr>
                <w:rFonts w:cstheme="minorHAnsi"/>
              </w:rPr>
              <w:br w:type="page"/>
            </w:r>
            <w:r w:rsidR="00C855C8" w:rsidRPr="00C855C8">
              <w:rPr>
                <w:rFonts w:eastAsia="Times New Roman" w:cstheme="minorHAnsi"/>
                <w:b/>
                <w:lang w:eastAsia="fr-FR"/>
              </w:rPr>
              <w:t>Avis 2021-05-20 n°4</w:t>
            </w:r>
          </w:p>
          <w:p w:rsidR="00C855C8" w:rsidRPr="00C855C8" w:rsidRDefault="00C855C8" w:rsidP="008B35D0">
            <w:pPr>
              <w:ind w:left="113" w:right="113"/>
              <w:rPr>
                <w:rFonts w:eastAsia="Times New Roman" w:cstheme="minorHAnsi"/>
                <w:b/>
                <w:lang w:eastAsia="fr-FR"/>
              </w:rPr>
            </w:pPr>
          </w:p>
          <w:p w:rsidR="00C855C8" w:rsidRPr="00C855C8" w:rsidRDefault="00C855C8" w:rsidP="008B35D0">
            <w:pPr>
              <w:ind w:left="113" w:right="113"/>
              <w:rPr>
                <w:rFonts w:cstheme="minorHAnsi"/>
              </w:rPr>
            </w:pPr>
            <w:r w:rsidRPr="00C855C8">
              <w:rPr>
                <w:rFonts w:cstheme="minorHAnsi"/>
              </w:rPr>
              <w:t>Le CHSCTD67 demande à M. l’IA-DASEN quels sont les aménagements qu’il a recommandés aux chefs de service de la DSDEN, aux personnels de direction et aux IEN pour garantir aux personnels des lieux de restauration sécurisés.</w:t>
            </w:r>
          </w:p>
          <w:p w:rsidR="003A7CFE" w:rsidRPr="00C855C8" w:rsidRDefault="003A7CFE" w:rsidP="008B35D0">
            <w:pPr>
              <w:spacing w:after="160"/>
              <w:ind w:left="113" w:right="113"/>
              <w:rPr>
                <w:rFonts w:cstheme="minorHAnsi"/>
                <w:b/>
              </w:rPr>
            </w:pPr>
          </w:p>
        </w:tc>
        <w:tc>
          <w:tcPr>
            <w:tcW w:w="7690" w:type="dxa"/>
            <w:vAlign w:val="center"/>
          </w:tcPr>
          <w:p w:rsidR="0050336E" w:rsidRPr="0036000A" w:rsidRDefault="00D31084" w:rsidP="006E4CA8">
            <w:pPr>
              <w:pStyle w:val="Titre1"/>
              <w:ind w:left="113" w:right="113"/>
              <w:outlineLvl w:val="0"/>
              <w:rPr>
                <w:rFonts w:asciiTheme="minorHAnsi" w:hAnsiTheme="minorHAnsi" w:cstheme="minorHAnsi"/>
                <w:b w:val="0"/>
                <w:sz w:val="22"/>
                <w:szCs w:val="22"/>
              </w:rPr>
            </w:pPr>
            <w:r w:rsidRPr="0036000A">
              <w:rPr>
                <w:rFonts w:asciiTheme="minorHAnsi" w:hAnsiTheme="minorHAnsi" w:cstheme="minorHAnsi"/>
                <w:b w:val="0"/>
                <w:sz w:val="22"/>
                <w:szCs w:val="22"/>
              </w:rPr>
              <w:t xml:space="preserve">Les consignes quant à l’organisation de la restauration en contexte COVID sont les mêmes que </w:t>
            </w:r>
            <w:r w:rsidR="00274CEF" w:rsidRPr="0036000A">
              <w:rPr>
                <w:rFonts w:asciiTheme="minorHAnsi" w:hAnsiTheme="minorHAnsi" w:cstheme="minorHAnsi"/>
                <w:b w:val="0"/>
                <w:sz w:val="22"/>
                <w:szCs w:val="22"/>
              </w:rPr>
              <w:t xml:space="preserve">celles </w:t>
            </w:r>
            <w:r w:rsidRPr="0036000A">
              <w:rPr>
                <w:rFonts w:asciiTheme="minorHAnsi" w:hAnsiTheme="minorHAnsi" w:cstheme="minorHAnsi"/>
                <w:b w:val="0"/>
                <w:sz w:val="22"/>
                <w:szCs w:val="22"/>
              </w:rPr>
              <w:t>pour les établissements scolaires</w:t>
            </w:r>
            <w:r w:rsidR="00274CEF" w:rsidRPr="0036000A">
              <w:rPr>
                <w:rFonts w:asciiTheme="minorHAnsi" w:hAnsiTheme="minorHAnsi" w:cstheme="minorHAnsi"/>
                <w:b w:val="0"/>
                <w:sz w:val="22"/>
                <w:szCs w:val="22"/>
              </w:rPr>
              <w:t xml:space="preserve">. Elles </w:t>
            </w:r>
            <w:r w:rsidRPr="0036000A">
              <w:rPr>
                <w:rFonts w:asciiTheme="minorHAnsi" w:hAnsiTheme="minorHAnsi" w:cstheme="minorHAnsi"/>
                <w:b w:val="0"/>
                <w:sz w:val="22"/>
                <w:szCs w:val="22"/>
              </w:rPr>
              <w:t>sont déclinées dans la fiche repères </w:t>
            </w:r>
            <w:r w:rsidR="00274CEF" w:rsidRPr="0036000A">
              <w:rPr>
                <w:rFonts w:asciiTheme="minorHAnsi" w:hAnsiTheme="minorHAnsi" w:cstheme="minorHAnsi"/>
                <w:b w:val="0"/>
                <w:sz w:val="22"/>
                <w:szCs w:val="22"/>
              </w:rPr>
              <w:t>mise à jour en janvier 2021</w:t>
            </w:r>
            <w:r w:rsidRPr="0036000A">
              <w:rPr>
                <w:rFonts w:asciiTheme="minorHAnsi" w:hAnsiTheme="minorHAnsi" w:cstheme="minorHAnsi"/>
                <w:b w:val="0"/>
                <w:sz w:val="22"/>
                <w:szCs w:val="22"/>
              </w:rPr>
              <w:t>, à savoir : le port du masque obligatoire même lorsque</w:t>
            </w:r>
            <w:r w:rsidR="00274CEF" w:rsidRPr="0036000A">
              <w:rPr>
                <w:rFonts w:asciiTheme="minorHAnsi" w:hAnsiTheme="minorHAnsi" w:cstheme="minorHAnsi"/>
                <w:b w:val="0"/>
                <w:sz w:val="22"/>
                <w:szCs w:val="22"/>
              </w:rPr>
              <w:t xml:space="preserve"> que</w:t>
            </w:r>
            <w:r w:rsidRPr="0036000A">
              <w:rPr>
                <w:rFonts w:asciiTheme="minorHAnsi" w:hAnsiTheme="minorHAnsi" w:cstheme="minorHAnsi"/>
                <w:b w:val="0"/>
                <w:sz w:val="22"/>
                <w:szCs w:val="22"/>
              </w:rPr>
              <w:t xml:space="preserve"> l’on est assis </w:t>
            </w:r>
            <w:r w:rsidR="00274CEF" w:rsidRPr="0036000A">
              <w:rPr>
                <w:rFonts w:asciiTheme="minorHAnsi" w:hAnsiTheme="minorHAnsi" w:cstheme="minorHAnsi"/>
                <w:b w:val="0"/>
                <w:sz w:val="22"/>
                <w:szCs w:val="22"/>
              </w:rPr>
              <w:t xml:space="preserve">et </w:t>
            </w:r>
            <w:r w:rsidRPr="0036000A">
              <w:rPr>
                <w:rFonts w:asciiTheme="minorHAnsi" w:hAnsiTheme="minorHAnsi" w:cstheme="minorHAnsi"/>
                <w:b w:val="0"/>
                <w:sz w:val="22"/>
                <w:szCs w:val="22"/>
              </w:rPr>
              <w:t>tant qu</w:t>
            </w:r>
            <w:r w:rsidR="00274CEF" w:rsidRPr="0036000A">
              <w:rPr>
                <w:rFonts w:asciiTheme="minorHAnsi" w:hAnsiTheme="minorHAnsi" w:cstheme="minorHAnsi"/>
                <w:b w:val="0"/>
                <w:sz w:val="22"/>
                <w:szCs w:val="22"/>
              </w:rPr>
              <w:t>e rien n’est consommé, la limitation du brassage entre les services, la possibilité de se restaurer dans les bureaux ou en extérieur selon les conditions météorologiques, l’aération des pièces lors de la prise des repas, le maintien d’une distanciation d’au moins 1mètre entre chaque personnel, le nettoyage-désinfectant à l’aide de lingettes par exemple entre chaque service lorsque les tables sont partagées.</w:t>
            </w:r>
          </w:p>
        </w:tc>
      </w:tr>
      <w:tr w:rsidR="009D01C2" w:rsidRPr="00AE62DD" w:rsidTr="00016B76">
        <w:trPr>
          <w:jc w:val="center"/>
        </w:trPr>
        <w:tc>
          <w:tcPr>
            <w:tcW w:w="7698" w:type="dxa"/>
            <w:shd w:val="clear" w:color="auto" w:fill="auto"/>
          </w:tcPr>
          <w:p w:rsidR="00C855C8" w:rsidRPr="00C855C8" w:rsidRDefault="00C855C8" w:rsidP="008B35D0">
            <w:pPr>
              <w:ind w:left="113" w:right="113"/>
              <w:rPr>
                <w:rFonts w:eastAsia="Times New Roman" w:cstheme="minorHAnsi"/>
                <w:b/>
                <w:lang w:eastAsia="fr-FR"/>
              </w:rPr>
            </w:pPr>
            <w:bookmarkStart w:id="2" w:name="_Hlk56763621"/>
            <w:r w:rsidRPr="00C855C8">
              <w:rPr>
                <w:rFonts w:eastAsia="Times New Roman" w:cstheme="minorHAnsi"/>
                <w:b/>
                <w:lang w:eastAsia="fr-FR"/>
              </w:rPr>
              <w:t>Avis 2021-05-20 n°5</w:t>
            </w:r>
          </w:p>
          <w:p w:rsidR="00C855C8" w:rsidRPr="00C855C8" w:rsidRDefault="00C855C8" w:rsidP="008B35D0">
            <w:pPr>
              <w:ind w:left="113" w:right="113"/>
              <w:rPr>
                <w:rFonts w:eastAsia="Times New Roman" w:cstheme="minorHAnsi"/>
                <w:b/>
                <w:lang w:eastAsia="fr-FR"/>
              </w:rPr>
            </w:pPr>
          </w:p>
          <w:p w:rsidR="00C855C8" w:rsidRPr="00C855C8" w:rsidRDefault="00C855C8" w:rsidP="008B35D0">
            <w:pPr>
              <w:ind w:left="113" w:right="113"/>
              <w:rPr>
                <w:rFonts w:cstheme="minorHAnsi"/>
              </w:rPr>
            </w:pPr>
            <w:r w:rsidRPr="00C855C8">
              <w:rPr>
                <w:rFonts w:cstheme="minorHAnsi"/>
              </w:rPr>
              <w:t>Le CHSCTD67 demande à M. l’IA-DASEN quelles sont les priorités qui ont été appliquées lors de la distr</w:t>
            </w:r>
            <w:r>
              <w:rPr>
                <w:rFonts w:cstheme="minorHAnsi"/>
              </w:rPr>
              <w:t>ibution aux personnels des auto</w:t>
            </w:r>
            <w:r w:rsidRPr="00C855C8">
              <w:rPr>
                <w:rFonts w:cstheme="minorHAnsi"/>
              </w:rPr>
              <w:t>tests, diffusés en nombre notoirement insuffisant dans les EPLE.</w:t>
            </w:r>
          </w:p>
          <w:p w:rsidR="009D01C2" w:rsidRPr="00C855C8" w:rsidRDefault="009D01C2" w:rsidP="008B35D0">
            <w:pPr>
              <w:spacing w:after="160" w:line="259" w:lineRule="auto"/>
              <w:ind w:left="113" w:right="113"/>
              <w:rPr>
                <w:rFonts w:cstheme="minorHAnsi"/>
                <w:b/>
              </w:rPr>
            </w:pPr>
          </w:p>
        </w:tc>
        <w:tc>
          <w:tcPr>
            <w:tcW w:w="7690" w:type="dxa"/>
            <w:vAlign w:val="center"/>
          </w:tcPr>
          <w:p w:rsidR="0050336E" w:rsidRDefault="0050336E" w:rsidP="008B35D0">
            <w:pPr>
              <w:ind w:left="113" w:right="113"/>
              <w:rPr>
                <w:rFonts w:cstheme="minorHAnsi"/>
              </w:rPr>
            </w:pPr>
          </w:p>
          <w:p w:rsidR="00CA23FF" w:rsidRPr="0036000A" w:rsidRDefault="00274CEF" w:rsidP="008B35D0">
            <w:pPr>
              <w:ind w:left="113" w:right="113"/>
              <w:rPr>
                <w:rFonts w:cstheme="minorHAnsi"/>
              </w:rPr>
            </w:pPr>
            <w:r w:rsidRPr="0036000A">
              <w:rPr>
                <w:rFonts w:cstheme="minorHAnsi"/>
              </w:rPr>
              <w:t xml:space="preserve">La dotation des autotests dans les EPLE s’est faite directement dans les établissements. </w:t>
            </w:r>
            <w:r w:rsidR="00D509B8" w:rsidRPr="0036000A">
              <w:rPr>
                <w:rFonts w:cstheme="minorHAnsi"/>
              </w:rPr>
              <w:t>Des</w:t>
            </w:r>
            <w:r w:rsidRPr="0036000A">
              <w:rPr>
                <w:rFonts w:cstheme="minorHAnsi"/>
              </w:rPr>
              <w:t xml:space="preserve"> réajustements se sont faits au fur et à mesure. </w:t>
            </w:r>
            <w:r w:rsidR="00D509B8" w:rsidRPr="0036000A">
              <w:rPr>
                <w:rFonts w:cstheme="minorHAnsi"/>
              </w:rPr>
              <w:t>Aucune priorité n’a été spécifiée.</w:t>
            </w:r>
          </w:p>
          <w:p w:rsidR="00274CEF" w:rsidRPr="0036000A" w:rsidRDefault="00274CEF" w:rsidP="008B35D0">
            <w:pPr>
              <w:ind w:left="113" w:right="113"/>
              <w:rPr>
                <w:rFonts w:cstheme="minorHAnsi"/>
              </w:rPr>
            </w:pPr>
            <w:r w:rsidRPr="0036000A">
              <w:rPr>
                <w:rFonts w:cstheme="minorHAnsi"/>
              </w:rPr>
              <w:t>Dans le premier degré les autotests ont été livré</w:t>
            </w:r>
            <w:r w:rsidR="00B72C44" w:rsidRPr="0036000A">
              <w:rPr>
                <w:rFonts w:cstheme="minorHAnsi"/>
              </w:rPr>
              <w:t xml:space="preserve">s à la DSDEN puis ont transité </w:t>
            </w:r>
            <w:r w:rsidRPr="0036000A">
              <w:rPr>
                <w:rFonts w:cstheme="minorHAnsi"/>
              </w:rPr>
              <w:t xml:space="preserve">par les circonscriptions avant d’atteindre les écoles. Les personnels éducation nationale (professeurs et AESH) ainsi que les ATSEMs ont été dotés de ces autotests. </w:t>
            </w:r>
          </w:p>
          <w:p w:rsidR="0050336E" w:rsidRDefault="00274CEF" w:rsidP="0050336E">
            <w:pPr>
              <w:ind w:left="113" w:right="113"/>
              <w:rPr>
                <w:rFonts w:cstheme="minorHAnsi"/>
              </w:rPr>
            </w:pPr>
            <w:r w:rsidRPr="0036000A">
              <w:rPr>
                <w:rFonts w:cstheme="minorHAnsi"/>
              </w:rPr>
              <w:t>La seconde livraison pour le premier degré s’est fait</w:t>
            </w:r>
            <w:r w:rsidR="00FE1696" w:rsidRPr="0036000A">
              <w:rPr>
                <w:rFonts w:cstheme="minorHAnsi"/>
              </w:rPr>
              <w:t>e</w:t>
            </w:r>
            <w:r w:rsidRPr="0036000A">
              <w:rPr>
                <w:rFonts w:cstheme="minorHAnsi"/>
              </w:rPr>
              <w:t xml:space="preserve"> directement dans les circonscription</w:t>
            </w:r>
            <w:r w:rsidR="00B72C44" w:rsidRPr="0036000A">
              <w:rPr>
                <w:rFonts w:cstheme="minorHAnsi"/>
              </w:rPr>
              <w:t>s</w:t>
            </w:r>
            <w:r w:rsidRPr="0036000A">
              <w:rPr>
                <w:rFonts w:cstheme="minorHAnsi"/>
              </w:rPr>
              <w:t>.</w:t>
            </w:r>
          </w:p>
          <w:p w:rsidR="0050336E" w:rsidRPr="0036000A" w:rsidRDefault="0050336E" w:rsidP="0050336E">
            <w:pPr>
              <w:ind w:left="113" w:right="113"/>
              <w:rPr>
                <w:rFonts w:cstheme="minorHAnsi"/>
              </w:rPr>
            </w:pPr>
          </w:p>
        </w:tc>
      </w:tr>
      <w:tr w:rsidR="00C855C8" w:rsidRPr="0036000A" w:rsidTr="00016B76">
        <w:trPr>
          <w:jc w:val="center"/>
        </w:trPr>
        <w:tc>
          <w:tcPr>
            <w:tcW w:w="7698" w:type="dxa"/>
            <w:shd w:val="clear" w:color="auto" w:fill="auto"/>
          </w:tcPr>
          <w:p w:rsidR="00C855C8" w:rsidRPr="0036000A" w:rsidRDefault="00C855C8" w:rsidP="008B35D0">
            <w:pPr>
              <w:ind w:left="113" w:right="113"/>
              <w:rPr>
                <w:rFonts w:eastAsia="Times New Roman" w:cstheme="minorHAnsi"/>
                <w:b/>
                <w:lang w:eastAsia="fr-FR"/>
              </w:rPr>
            </w:pPr>
            <w:r w:rsidRPr="0036000A">
              <w:rPr>
                <w:rFonts w:eastAsia="Times New Roman" w:cstheme="minorHAnsi"/>
                <w:b/>
                <w:lang w:eastAsia="fr-FR"/>
              </w:rPr>
              <w:t>Avis 2021-05-20 n°6</w:t>
            </w:r>
          </w:p>
          <w:p w:rsidR="00C855C8" w:rsidRPr="0036000A" w:rsidRDefault="00C855C8" w:rsidP="008B35D0">
            <w:pPr>
              <w:ind w:left="113" w:right="113"/>
              <w:rPr>
                <w:rFonts w:eastAsia="Times New Roman" w:cstheme="minorHAnsi"/>
                <w:b/>
                <w:lang w:eastAsia="fr-FR"/>
              </w:rPr>
            </w:pPr>
          </w:p>
          <w:p w:rsidR="00C855C8" w:rsidRPr="0036000A" w:rsidRDefault="00C855C8" w:rsidP="008B35D0">
            <w:pPr>
              <w:ind w:left="113" w:right="113"/>
              <w:rPr>
                <w:rStyle w:val="fontstyle21"/>
                <w:rFonts w:asciiTheme="minorHAnsi" w:hAnsiTheme="minorHAnsi" w:cstheme="minorHAnsi"/>
                <w:sz w:val="22"/>
                <w:szCs w:val="22"/>
              </w:rPr>
            </w:pPr>
            <w:r w:rsidRPr="0036000A">
              <w:rPr>
                <w:rStyle w:val="fontstyle21"/>
                <w:rFonts w:asciiTheme="minorHAnsi" w:hAnsiTheme="minorHAnsi" w:cstheme="minorHAnsi"/>
                <w:sz w:val="22"/>
                <w:szCs w:val="22"/>
              </w:rPr>
              <w:t>Le CHSCT D demande que l'administration prenne ses responsabilités</w:t>
            </w:r>
            <w:r w:rsidRPr="0036000A">
              <w:rPr>
                <w:rFonts w:cstheme="minorHAnsi"/>
                <w:color w:val="000000"/>
              </w:rPr>
              <w:br/>
            </w:r>
            <w:r w:rsidRPr="0036000A">
              <w:rPr>
                <w:rStyle w:val="fontstyle21"/>
                <w:rFonts w:asciiTheme="minorHAnsi" w:hAnsiTheme="minorHAnsi" w:cstheme="minorHAnsi"/>
                <w:sz w:val="22"/>
                <w:szCs w:val="22"/>
              </w:rPr>
              <w:t>quand une classe ne peut être ouverte faute de remplaçants. Le CHSCTD demande</w:t>
            </w:r>
            <w:r w:rsidRPr="0036000A">
              <w:rPr>
                <w:rFonts w:cstheme="minorHAnsi"/>
                <w:color w:val="000000"/>
              </w:rPr>
              <w:br/>
            </w:r>
            <w:r w:rsidRPr="0036000A">
              <w:rPr>
                <w:rStyle w:val="fontstyle21"/>
                <w:rFonts w:asciiTheme="minorHAnsi" w:hAnsiTheme="minorHAnsi" w:cstheme="minorHAnsi"/>
                <w:sz w:val="22"/>
                <w:szCs w:val="22"/>
              </w:rPr>
              <w:t>que ce ne soit pas aux directrices et directeurs d'école d'assumer la fermeture d'une</w:t>
            </w:r>
            <w:r w:rsidR="00E42DD8" w:rsidRPr="0036000A">
              <w:rPr>
                <w:rStyle w:val="fontstyle21"/>
                <w:rFonts w:asciiTheme="minorHAnsi" w:hAnsiTheme="minorHAnsi" w:cstheme="minorHAnsi"/>
                <w:sz w:val="22"/>
                <w:szCs w:val="22"/>
              </w:rPr>
              <w:t xml:space="preserve"> </w:t>
            </w:r>
            <w:r w:rsidRPr="0036000A">
              <w:rPr>
                <w:rStyle w:val="fontstyle21"/>
                <w:rFonts w:asciiTheme="minorHAnsi" w:hAnsiTheme="minorHAnsi" w:cstheme="minorHAnsi"/>
                <w:sz w:val="22"/>
                <w:szCs w:val="22"/>
              </w:rPr>
              <w:t>classe décidée par l’IEN, et donc la responsabilité de la rupture dans l'obligation scolaire. Le CHSCTD</w:t>
            </w:r>
            <w:r w:rsidRPr="0036000A">
              <w:rPr>
                <w:rFonts w:cstheme="minorHAnsi"/>
                <w:color w:val="000000"/>
              </w:rPr>
              <w:t xml:space="preserve"> </w:t>
            </w:r>
            <w:r w:rsidRPr="0036000A">
              <w:rPr>
                <w:rStyle w:val="fontstyle21"/>
                <w:rFonts w:asciiTheme="minorHAnsi" w:hAnsiTheme="minorHAnsi" w:cstheme="minorHAnsi"/>
                <w:sz w:val="22"/>
                <w:szCs w:val="22"/>
              </w:rPr>
              <w:t>demande que soit communiqué à la direction de l’école un courrier type émanant de la DSDEN</w:t>
            </w:r>
            <w:r w:rsidRPr="0036000A">
              <w:rPr>
                <w:rFonts w:cstheme="minorHAnsi"/>
                <w:color w:val="000000"/>
              </w:rPr>
              <w:t xml:space="preserve"> </w:t>
            </w:r>
            <w:r w:rsidRPr="0036000A">
              <w:rPr>
                <w:rStyle w:val="fontstyle21"/>
                <w:rFonts w:asciiTheme="minorHAnsi" w:hAnsiTheme="minorHAnsi" w:cstheme="minorHAnsi"/>
                <w:sz w:val="22"/>
                <w:szCs w:val="22"/>
              </w:rPr>
              <w:t>expliquant la fermeture de classe.</w:t>
            </w:r>
          </w:p>
          <w:p w:rsidR="00C855C8" w:rsidRPr="0036000A" w:rsidRDefault="00C855C8" w:rsidP="008B35D0">
            <w:pPr>
              <w:ind w:left="113" w:right="113"/>
              <w:rPr>
                <w:rFonts w:eastAsia="Times New Roman" w:cstheme="minorHAnsi"/>
                <w:b/>
                <w:lang w:eastAsia="fr-FR"/>
              </w:rPr>
            </w:pPr>
          </w:p>
        </w:tc>
        <w:tc>
          <w:tcPr>
            <w:tcW w:w="7690" w:type="dxa"/>
            <w:vAlign w:val="center"/>
          </w:tcPr>
          <w:p w:rsidR="00C855C8" w:rsidRPr="0036000A" w:rsidRDefault="00E42DD8" w:rsidP="008B35D0">
            <w:pPr>
              <w:ind w:left="113" w:right="113"/>
              <w:rPr>
                <w:rFonts w:cstheme="minorHAnsi"/>
              </w:rPr>
            </w:pPr>
            <w:r w:rsidRPr="0036000A">
              <w:rPr>
                <w:rFonts w:cstheme="minorHAnsi"/>
              </w:rPr>
              <w:t xml:space="preserve">Un modèle de courrier à destination des parents d’élèves dans le cadre d’une fermeture de classe est disponible sur le padlet « protocole sanitaire ». Ce courrier émane directement du ministère. </w:t>
            </w:r>
          </w:p>
        </w:tc>
      </w:tr>
      <w:bookmarkEnd w:id="2"/>
    </w:tbl>
    <w:p w:rsidR="00C606AB" w:rsidRPr="0036000A" w:rsidRDefault="00C606AB" w:rsidP="008F7261">
      <w:pPr>
        <w:rPr>
          <w:color w:val="000000"/>
          <w:shd w:val="clear" w:color="auto" w:fill="FFFFFF"/>
          <w:lang w:eastAsia="fr-FR"/>
        </w:rPr>
      </w:pPr>
    </w:p>
    <w:tbl>
      <w:tblPr>
        <w:tblStyle w:val="Grilledutableau"/>
        <w:tblW w:w="0" w:type="auto"/>
        <w:jc w:val="center"/>
        <w:tblLook w:val="0620" w:firstRow="1" w:lastRow="0" w:firstColumn="0" w:lastColumn="0" w:noHBand="1" w:noVBand="1"/>
      </w:tblPr>
      <w:tblGrid>
        <w:gridCol w:w="7698"/>
        <w:gridCol w:w="7690"/>
      </w:tblGrid>
      <w:tr w:rsidR="00C606AB" w:rsidRPr="0036000A" w:rsidTr="004E63EF">
        <w:trPr>
          <w:tblHeader/>
          <w:jc w:val="center"/>
        </w:trPr>
        <w:tc>
          <w:tcPr>
            <w:tcW w:w="7698" w:type="dxa"/>
            <w:shd w:val="clear" w:color="auto" w:fill="8DB3E2" w:themeFill="text2" w:themeFillTint="66"/>
          </w:tcPr>
          <w:p w:rsidR="00C606AB" w:rsidRPr="0036000A" w:rsidRDefault="00C606AB" w:rsidP="004E63EF">
            <w:pPr>
              <w:widowControl w:val="0"/>
              <w:spacing w:before="120" w:after="120"/>
              <w:jc w:val="center"/>
              <w:rPr>
                <w:b/>
              </w:rPr>
            </w:pPr>
            <w:r w:rsidRPr="0036000A">
              <w:rPr>
                <w:color w:val="000000"/>
                <w:shd w:val="clear" w:color="auto" w:fill="FFFFFF"/>
                <w:lang w:eastAsia="fr-FR"/>
              </w:rPr>
              <w:br w:type="page"/>
            </w:r>
            <w:r w:rsidRPr="0036000A">
              <w:rPr>
                <w:b/>
              </w:rPr>
              <w:t>AVIS</w:t>
            </w:r>
          </w:p>
        </w:tc>
        <w:tc>
          <w:tcPr>
            <w:tcW w:w="7690" w:type="dxa"/>
            <w:shd w:val="clear" w:color="auto" w:fill="8DB3E2" w:themeFill="text2" w:themeFillTint="66"/>
          </w:tcPr>
          <w:p w:rsidR="00C606AB" w:rsidRPr="0036000A" w:rsidRDefault="00C606AB" w:rsidP="004E63EF">
            <w:pPr>
              <w:spacing w:before="120" w:after="120"/>
              <w:jc w:val="center"/>
              <w:rPr>
                <w:b/>
              </w:rPr>
            </w:pPr>
            <w:r w:rsidRPr="0036000A">
              <w:rPr>
                <w:b/>
              </w:rPr>
              <w:t>Suites données par l’administration</w:t>
            </w:r>
          </w:p>
        </w:tc>
      </w:tr>
      <w:tr w:rsidR="00C606AB" w:rsidRPr="0036000A" w:rsidTr="004E63EF">
        <w:trPr>
          <w:jc w:val="center"/>
        </w:trPr>
        <w:tc>
          <w:tcPr>
            <w:tcW w:w="7698" w:type="dxa"/>
            <w:shd w:val="clear" w:color="auto" w:fill="auto"/>
          </w:tcPr>
          <w:p w:rsidR="00C855C8" w:rsidRPr="0036000A" w:rsidRDefault="00C606AB" w:rsidP="008B35D0">
            <w:pPr>
              <w:ind w:left="113" w:right="113"/>
              <w:rPr>
                <w:rFonts w:eastAsia="Times New Roman" w:cstheme="minorHAnsi"/>
                <w:b/>
                <w:lang w:eastAsia="fr-FR"/>
              </w:rPr>
            </w:pPr>
            <w:r w:rsidRPr="0036000A">
              <w:rPr>
                <w:rFonts w:cstheme="minorHAnsi"/>
              </w:rPr>
              <w:br w:type="page"/>
            </w:r>
            <w:r w:rsidR="00C855C8" w:rsidRPr="0036000A">
              <w:rPr>
                <w:rFonts w:eastAsia="Times New Roman" w:cstheme="minorHAnsi"/>
                <w:b/>
                <w:lang w:eastAsia="fr-FR"/>
              </w:rPr>
              <w:t>Avis 2021-05-20 n°7</w:t>
            </w:r>
          </w:p>
          <w:p w:rsidR="00C855C8" w:rsidRPr="0036000A" w:rsidRDefault="00C855C8" w:rsidP="008B35D0">
            <w:pPr>
              <w:ind w:left="113" w:right="113"/>
              <w:rPr>
                <w:rFonts w:eastAsia="Times New Roman" w:cstheme="minorHAnsi"/>
                <w:b/>
                <w:lang w:eastAsia="fr-FR"/>
              </w:rPr>
            </w:pPr>
          </w:p>
          <w:p w:rsidR="00C855C8" w:rsidRPr="0036000A" w:rsidRDefault="00C855C8" w:rsidP="008B35D0">
            <w:pPr>
              <w:ind w:left="113" w:right="113"/>
              <w:rPr>
                <w:rStyle w:val="fontstyle21"/>
                <w:rFonts w:asciiTheme="minorHAnsi" w:hAnsiTheme="minorHAnsi" w:cstheme="minorHAnsi"/>
                <w:sz w:val="22"/>
                <w:szCs w:val="22"/>
              </w:rPr>
            </w:pPr>
            <w:r w:rsidRPr="0036000A">
              <w:rPr>
                <w:rStyle w:val="fontstyle21"/>
                <w:rFonts w:asciiTheme="minorHAnsi" w:hAnsiTheme="minorHAnsi" w:cstheme="minorHAnsi"/>
                <w:sz w:val="22"/>
                <w:szCs w:val="22"/>
              </w:rPr>
              <w:t>Face à la circulation active du virus du COVID19 sur tout le territoire, et la menace de la propagation de nouveaux variants plus contagieux et plus virulents, le CHSCTD demande que tous les personnels en contact avec les élèves et le public se voient proposer un accès prioritaire à la vaccination et ce quel que soit leur âge. La</w:t>
            </w:r>
            <w:r w:rsidRPr="0036000A">
              <w:rPr>
                <w:rFonts w:cstheme="minorHAnsi"/>
                <w:color w:val="000000"/>
              </w:rPr>
              <w:br/>
            </w:r>
            <w:r w:rsidRPr="0036000A">
              <w:rPr>
                <w:rStyle w:val="fontstyle21"/>
                <w:rFonts w:asciiTheme="minorHAnsi" w:hAnsiTheme="minorHAnsi" w:cstheme="minorHAnsi"/>
                <w:sz w:val="22"/>
                <w:szCs w:val="22"/>
              </w:rPr>
              <w:t>vaccination doit être proposée sur la base du volontariat.</w:t>
            </w:r>
          </w:p>
          <w:p w:rsidR="00C606AB" w:rsidRPr="0036000A" w:rsidRDefault="00C606AB" w:rsidP="008B35D0">
            <w:pPr>
              <w:spacing w:after="160"/>
              <w:ind w:left="113" w:right="113"/>
              <w:rPr>
                <w:rFonts w:cstheme="minorHAnsi"/>
                <w:b/>
              </w:rPr>
            </w:pPr>
          </w:p>
        </w:tc>
        <w:tc>
          <w:tcPr>
            <w:tcW w:w="7690" w:type="dxa"/>
            <w:vAlign w:val="center"/>
          </w:tcPr>
          <w:p w:rsidR="00FE1696" w:rsidRPr="0036000A" w:rsidRDefault="00FE1696" w:rsidP="008B35D0">
            <w:pPr>
              <w:pStyle w:val="Titre1"/>
              <w:ind w:left="113" w:right="113"/>
              <w:outlineLvl w:val="0"/>
              <w:rPr>
                <w:rFonts w:asciiTheme="minorHAnsi" w:hAnsiTheme="minorHAnsi" w:cstheme="minorHAnsi"/>
                <w:b w:val="0"/>
                <w:sz w:val="22"/>
                <w:szCs w:val="22"/>
              </w:rPr>
            </w:pPr>
            <w:r w:rsidRPr="0036000A">
              <w:rPr>
                <w:rFonts w:asciiTheme="minorHAnsi" w:hAnsiTheme="minorHAnsi" w:cstheme="minorHAnsi"/>
                <w:b w:val="0"/>
                <w:sz w:val="22"/>
                <w:szCs w:val="22"/>
              </w:rPr>
              <w:t xml:space="preserve">A l’heure actuelle il est possible pour toutes personnes de plus de 18 ans de se faire vacciner. Des autorisations d’absence sont délivrées dans cadre aux personnels qui doivent se faire vacciner sur temps de travail. </w:t>
            </w:r>
          </w:p>
          <w:p w:rsidR="00C606AB" w:rsidRPr="0036000A" w:rsidRDefault="00FE1696" w:rsidP="008B35D0">
            <w:pPr>
              <w:pStyle w:val="Titre1"/>
              <w:ind w:left="113" w:right="113"/>
              <w:outlineLvl w:val="0"/>
              <w:rPr>
                <w:rFonts w:asciiTheme="minorHAnsi" w:hAnsiTheme="minorHAnsi" w:cstheme="minorHAnsi"/>
                <w:b w:val="0"/>
                <w:sz w:val="22"/>
                <w:szCs w:val="22"/>
              </w:rPr>
            </w:pPr>
            <w:r w:rsidRPr="0036000A">
              <w:rPr>
                <w:rFonts w:asciiTheme="minorHAnsi" w:hAnsiTheme="minorHAnsi" w:cstheme="minorHAnsi"/>
                <w:b w:val="0"/>
                <w:sz w:val="22"/>
                <w:szCs w:val="22"/>
              </w:rPr>
              <w:t xml:space="preserve"> A parti</w:t>
            </w:r>
            <w:r w:rsidR="00D509B8" w:rsidRPr="0036000A">
              <w:rPr>
                <w:rFonts w:asciiTheme="minorHAnsi" w:hAnsiTheme="minorHAnsi" w:cstheme="minorHAnsi"/>
                <w:b w:val="0"/>
                <w:sz w:val="22"/>
                <w:szCs w:val="22"/>
              </w:rPr>
              <w:t>r</w:t>
            </w:r>
            <w:r w:rsidRPr="0036000A">
              <w:rPr>
                <w:rFonts w:asciiTheme="minorHAnsi" w:hAnsiTheme="minorHAnsi" w:cstheme="minorHAnsi"/>
                <w:b w:val="0"/>
                <w:sz w:val="22"/>
                <w:szCs w:val="22"/>
              </w:rPr>
              <w:t xml:space="preserve"> du 15 juin les 12-18 ans pourront également se faire vacciner s’ils le désirent. </w:t>
            </w:r>
          </w:p>
        </w:tc>
      </w:tr>
      <w:tr w:rsidR="00C855C8" w:rsidRPr="0036000A" w:rsidTr="00956464">
        <w:trPr>
          <w:trHeight w:val="2378"/>
          <w:jc w:val="center"/>
        </w:trPr>
        <w:tc>
          <w:tcPr>
            <w:tcW w:w="7698" w:type="dxa"/>
            <w:shd w:val="clear" w:color="auto" w:fill="auto"/>
          </w:tcPr>
          <w:p w:rsidR="00C855C8" w:rsidRPr="0036000A" w:rsidRDefault="00C855C8" w:rsidP="008B35D0">
            <w:pPr>
              <w:ind w:left="113" w:right="113"/>
              <w:rPr>
                <w:rFonts w:eastAsia="Times New Roman" w:cstheme="minorHAnsi"/>
                <w:b/>
                <w:lang w:eastAsia="fr-FR"/>
              </w:rPr>
            </w:pPr>
            <w:r w:rsidRPr="0036000A">
              <w:rPr>
                <w:rFonts w:eastAsia="Times New Roman" w:cstheme="minorHAnsi"/>
                <w:b/>
                <w:lang w:eastAsia="fr-FR"/>
              </w:rPr>
              <w:t>Avis 2021-05-20 n°8</w:t>
            </w:r>
          </w:p>
          <w:p w:rsidR="00C855C8" w:rsidRPr="0036000A" w:rsidRDefault="00C855C8" w:rsidP="008B35D0">
            <w:pPr>
              <w:ind w:left="113" w:right="113"/>
              <w:rPr>
                <w:rStyle w:val="fontstyle21"/>
                <w:rFonts w:asciiTheme="minorHAnsi" w:hAnsiTheme="minorHAnsi" w:cstheme="minorHAnsi"/>
                <w:sz w:val="22"/>
                <w:szCs w:val="22"/>
              </w:rPr>
            </w:pPr>
            <w:r w:rsidRPr="0036000A">
              <w:rPr>
                <w:rFonts w:cstheme="minorHAnsi"/>
                <w:color w:val="000000"/>
              </w:rPr>
              <w:br/>
            </w:r>
            <w:r w:rsidRPr="0036000A">
              <w:rPr>
                <w:rStyle w:val="fontstyle21"/>
                <w:rFonts w:asciiTheme="minorHAnsi" w:hAnsiTheme="minorHAnsi" w:cstheme="minorHAnsi"/>
                <w:sz w:val="22"/>
                <w:szCs w:val="22"/>
              </w:rPr>
              <w:t>Le CHSCTD demande que des appareils de contrôle de la qualité de l’air intérieur (détecteurs de CO2) soient déployés dans les classes. La mise en place de ces détecteurs doit être organisée et financée par l’Education Nationale. Ce déploiement ne doit pas être laissé à l’appréciation des collectivités territoriales et locales ni être conditionné à leur capacité de financement.</w:t>
            </w:r>
          </w:p>
          <w:p w:rsidR="00C855C8" w:rsidRPr="0036000A" w:rsidRDefault="00C855C8" w:rsidP="008B35D0">
            <w:pPr>
              <w:ind w:left="113" w:right="113"/>
              <w:rPr>
                <w:rStyle w:val="fontstyle21"/>
                <w:rFonts w:asciiTheme="minorHAnsi" w:eastAsia="Times New Roman" w:hAnsiTheme="minorHAnsi" w:cstheme="minorHAnsi"/>
                <w:b/>
                <w:sz w:val="22"/>
                <w:szCs w:val="22"/>
                <w:lang w:eastAsia="fr-FR"/>
              </w:rPr>
            </w:pPr>
          </w:p>
          <w:p w:rsidR="00C855C8" w:rsidRPr="0036000A" w:rsidRDefault="00C855C8" w:rsidP="008B35D0">
            <w:pPr>
              <w:ind w:left="113" w:right="113"/>
              <w:rPr>
                <w:rFonts w:cstheme="minorHAnsi"/>
              </w:rPr>
            </w:pPr>
          </w:p>
        </w:tc>
        <w:tc>
          <w:tcPr>
            <w:tcW w:w="7690" w:type="dxa"/>
            <w:vAlign w:val="center"/>
          </w:tcPr>
          <w:p w:rsidR="00956464" w:rsidRPr="0036000A" w:rsidRDefault="00956464" w:rsidP="008B35D0">
            <w:pPr>
              <w:pStyle w:val="Titre1"/>
              <w:ind w:left="113" w:right="113"/>
              <w:outlineLvl w:val="0"/>
              <w:rPr>
                <w:rFonts w:asciiTheme="minorHAnsi" w:hAnsiTheme="minorHAnsi" w:cstheme="minorHAnsi"/>
                <w:b w:val="0"/>
                <w:sz w:val="22"/>
                <w:szCs w:val="22"/>
              </w:rPr>
            </w:pPr>
            <w:r w:rsidRPr="0036000A">
              <w:rPr>
                <w:rFonts w:asciiTheme="minorHAnsi" w:hAnsiTheme="minorHAnsi" w:cstheme="minorHAnsi"/>
                <w:b w:val="0"/>
                <w:sz w:val="22"/>
                <w:szCs w:val="22"/>
              </w:rPr>
              <w:t>Comme le précise la FAQ du 04 juin 2021, a</w:t>
            </w:r>
            <w:r w:rsidR="00FE1696" w:rsidRPr="0036000A">
              <w:rPr>
                <w:rFonts w:asciiTheme="minorHAnsi" w:hAnsiTheme="minorHAnsi" w:cstheme="minorHAnsi"/>
                <w:b w:val="0"/>
                <w:sz w:val="22"/>
                <w:szCs w:val="22"/>
              </w:rPr>
              <w:t xml:space="preserve">fin </w:t>
            </w:r>
            <w:r w:rsidR="00FB331E" w:rsidRPr="0036000A">
              <w:rPr>
                <w:rFonts w:asciiTheme="minorHAnsi" w:hAnsiTheme="minorHAnsi" w:cstheme="minorHAnsi"/>
                <w:b w:val="0"/>
                <w:sz w:val="22"/>
                <w:szCs w:val="22"/>
              </w:rPr>
              <w:t>de faciliter l’appropriation des</w:t>
            </w:r>
            <w:r w:rsidR="00FE1696" w:rsidRPr="0036000A">
              <w:rPr>
                <w:rFonts w:asciiTheme="minorHAnsi" w:hAnsiTheme="minorHAnsi" w:cstheme="minorHAnsi"/>
                <w:b w:val="0"/>
                <w:sz w:val="22"/>
                <w:szCs w:val="22"/>
              </w:rPr>
              <w:t xml:space="preserve"> règles essentielles</w:t>
            </w:r>
            <w:r w:rsidR="00FB331E" w:rsidRPr="0036000A">
              <w:rPr>
                <w:rFonts w:asciiTheme="minorHAnsi" w:hAnsiTheme="minorHAnsi" w:cstheme="minorHAnsi"/>
                <w:b w:val="0"/>
                <w:sz w:val="22"/>
                <w:szCs w:val="22"/>
              </w:rPr>
              <w:t xml:space="preserve"> dédiées à l</w:t>
            </w:r>
            <w:r w:rsidRPr="0036000A">
              <w:rPr>
                <w:rFonts w:asciiTheme="minorHAnsi" w:hAnsiTheme="minorHAnsi" w:cstheme="minorHAnsi"/>
                <w:b w:val="0"/>
                <w:sz w:val="22"/>
                <w:szCs w:val="22"/>
              </w:rPr>
              <w:t>a surveillance de la qualité de l’air intérieur</w:t>
            </w:r>
            <w:r w:rsidR="00FE1696" w:rsidRPr="0036000A">
              <w:rPr>
                <w:rFonts w:asciiTheme="minorHAnsi" w:hAnsiTheme="minorHAnsi" w:cstheme="minorHAnsi"/>
                <w:b w:val="0"/>
                <w:sz w:val="22"/>
                <w:szCs w:val="22"/>
              </w:rPr>
              <w:t>, des capteurs de CO</w:t>
            </w:r>
            <w:r w:rsidR="00FE1696" w:rsidRPr="0036000A">
              <w:rPr>
                <w:rFonts w:asciiTheme="minorHAnsi" w:hAnsiTheme="minorHAnsi" w:cstheme="minorHAnsi"/>
                <w:b w:val="0"/>
                <w:sz w:val="22"/>
                <w:szCs w:val="22"/>
                <w:vertAlign w:val="subscript"/>
              </w:rPr>
              <w:t xml:space="preserve">2 </w:t>
            </w:r>
            <w:r w:rsidR="00FE1696" w:rsidRPr="0036000A">
              <w:rPr>
                <w:rFonts w:asciiTheme="minorHAnsi" w:hAnsiTheme="minorHAnsi" w:cstheme="minorHAnsi"/>
                <w:b w:val="0"/>
                <w:sz w:val="22"/>
                <w:szCs w:val="22"/>
              </w:rPr>
              <w:t>peuvent utilement être utilisés</w:t>
            </w:r>
            <w:r w:rsidRPr="0036000A">
              <w:rPr>
                <w:rFonts w:asciiTheme="minorHAnsi" w:hAnsiTheme="minorHAnsi" w:cstheme="minorHAnsi"/>
                <w:b w:val="0"/>
                <w:sz w:val="22"/>
                <w:szCs w:val="22"/>
              </w:rPr>
              <w:t xml:space="preserve">. </w:t>
            </w:r>
            <w:r w:rsidR="00D509B8" w:rsidRPr="0036000A">
              <w:rPr>
                <w:rFonts w:asciiTheme="minorHAnsi" w:hAnsiTheme="minorHAnsi" w:cstheme="minorHAnsi"/>
                <w:b w:val="0"/>
                <w:sz w:val="22"/>
                <w:szCs w:val="22"/>
              </w:rPr>
              <w:t>Les</w:t>
            </w:r>
            <w:r w:rsidRPr="0036000A">
              <w:rPr>
                <w:rFonts w:asciiTheme="minorHAnsi" w:hAnsiTheme="minorHAnsi" w:cstheme="minorHAnsi"/>
                <w:b w:val="0"/>
                <w:sz w:val="22"/>
                <w:szCs w:val="22"/>
              </w:rPr>
              <w:t xml:space="preserve"> locaux relevant de la compétence des collectivités, il leur revient </w:t>
            </w:r>
            <w:r w:rsidR="00D509B8" w:rsidRPr="0036000A">
              <w:rPr>
                <w:rFonts w:asciiTheme="minorHAnsi" w:hAnsiTheme="minorHAnsi" w:cstheme="minorHAnsi"/>
                <w:b w:val="0"/>
                <w:sz w:val="22"/>
                <w:szCs w:val="22"/>
              </w:rPr>
              <w:t>d’étudier</w:t>
            </w:r>
            <w:r w:rsidRPr="0036000A">
              <w:rPr>
                <w:rFonts w:asciiTheme="minorHAnsi" w:hAnsiTheme="minorHAnsi" w:cstheme="minorHAnsi"/>
                <w:b w:val="0"/>
                <w:sz w:val="22"/>
                <w:szCs w:val="22"/>
              </w:rPr>
              <w:t xml:space="preserve"> la mise en place de ces derniers. </w:t>
            </w:r>
            <w:r w:rsidR="00FE1696" w:rsidRPr="0036000A">
              <w:rPr>
                <w:rFonts w:asciiTheme="minorHAnsi" w:hAnsiTheme="minorHAnsi" w:cstheme="minorHAnsi"/>
                <w:b w:val="0"/>
                <w:sz w:val="22"/>
                <w:szCs w:val="22"/>
              </w:rPr>
              <w:t xml:space="preserve">La conseillère départementale de prévention se tient à disposition des collectivités pour les accompagner dans le choix et la mise en place de ces derniers. </w:t>
            </w:r>
          </w:p>
        </w:tc>
      </w:tr>
    </w:tbl>
    <w:p w:rsidR="00912AE6" w:rsidRDefault="00912AE6" w:rsidP="008B35D0">
      <w:pPr>
        <w:ind w:left="113" w:right="113"/>
        <w:rPr>
          <w:i/>
          <w:color w:val="000000"/>
          <w:shd w:val="clear" w:color="auto" w:fill="FFFFFF"/>
          <w:lang w:eastAsia="fr-FR"/>
        </w:rPr>
      </w:pPr>
    </w:p>
    <w:p w:rsidR="00D509B8" w:rsidRDefault="00D509B8" w:rsidP="008B35D0">
      <w:pPr>
        <w:ind w:left="113" w:right="113"/>
        <w:rPr>
          <w:i/>
          <w:color w:val="000000"/>
          <w:shd w:val="clear" w:color="auto" w:fill="FFFFFF"/>
          <w:lang w:eastAsia="fr-FR"/>
        </w:rPr>
      </w:pPr>
    </w:p>
    <w:p w:rsidR="00D509B8" w:rsidRDefault="00D509B8" w:rsidP="008B35D0">
      <w:pPr>
        <w:ind w:left="113" w:right="113"/>
        <w:rPr>
          <w:i/>
          <w:color w:val="000000"/>
          <w:shd w:val="clear" w:color="auto" w:fill="FFFFFF"/>
          <w:lang w:eastAsia="fr-FR"/>
        </w:rPr>
      </w:pPr>
    </w:p>
    <w:p w:rsidR="00C855C8" w:rsidRDefault="00C855C8" w:rsidP="008B35D0">
      <w:pPr>
        <w:ind w:left="113" w:right="113"/>
        <w:rPr>
          <w:i/>
          <w:color w:val="000000"/>
          <w:shd w:val="clear" w:color="auto" w:fill="FFFFFF"/>
          <w:lang w:eastAsia="fr-FR"/>
        </w:rPr>
      </w:pPr>
    </w:p>
    <w:p w:rsidR="00C855C8" w:rsidRDefault="00C855C8" w:rsidP="008B35D0">
      <w:pPr>
        <w:ind w:left="113" w:right="113"/>
        <w:rPr>
          <w:i/>
          <w:color w:val="000000"/>
          <w:shd w:val="clear" w:color="auto" w:fill="FFFFFF"/>
          <w:lang w:eastAsia="fr-FR"/>
        </w:rPr>
      </w:pPr>
    </w:p>
    <w:p w:rsidR="00C606AB" w:rsidRDefault="00C606AB" w:rsidP="008B35D0">
      <w:pPr>
        <w:ind w:left="113" w:right="113"/>
        <w:rPr>
          <w:i/>
          <w:color w:val="000000"/>
          <w:shd w:val="clear" w:color="auto" w:fill="FFFFFF"/>
          <w:lang w:eastAsia="fr-FR"/>
        </w:rPr>
      </w:pPr>
    </w:p>
    <w:tbl>
      <w:tblPr>
        <w:tblStyle w:val="Grilledutableau"/>
        <w:tblW w:w="0" w:type="auto"/>
        <w:jc w:val="center"/>
        <w:tblLook w:val="0620" w:firstRow="1" w:lastRow="0" w:firstColumn="0" w:lastColumn="0" w:noHBand="1" w:noVBand="1"/>
      </w:tblPr>
      <w:tblGrid>
        <w:gridCol w:w="8075"/>
        <w:gridCol w:w="7313"/>
      </w:tblGrid>
      <w:tr w:rsidR="00C606AB" w:rsidRPr="00912AE6" w:rsidTr="00956464">
        <w:trPr>
          <w:tblHeader/>
          <w:jc w:val="center"/>
        </w:trPr>
        <w:tc>
          <w:tcPr>
            <w:tcW w:w="8075" w:type="dxa"/>
            <w:shd w:val="clear" w:color="auto" w:fill="8DB3E2" w:themeFill="text2" w:themeFillTint="66"/>
          </w:tcPr>
          <w:p w:rsidR="00C606AB" w:rsidRPr="0009239D" w:rsidRDefault="00C606AB" w:rsidP="008B35D0">
            <w:pPr>
              <w:widowControl w:val="0"/>
              <w:spacing w:before="120" w:after="120"/>
              <w:ind w:left="113" w:right="113"/>
              <w:rPr>
                <w:b/>
              </w:rPr>
            </w:pPr>
            <w:r w:rsidRPr="0009239D">
              <w:rPr>
                <w:b/>
              </w:rPr>
              <w:lastRenderedPageBreak/>
              <w:t>AVIS</w:t>
            </w:r>
          </w:p>
        </w:tc>
        <w:tc>
          <w:tcPr>
            <w:tcW w:w="7313" w:type="dxa"/>
            <w:shd w:val="clear" w:color="auto" w:fill="8DB3E2" w:themeFill="text2" w:themeFillTint="66"/>
          </w:tcPr>
          <w:p w:rsidR="00C606AB" w:rsidRPr="00912AE6" w:rsidRDefault="00C606AB" w:rsidP="008B35D0">
            <w:pPr>
              <w:spacing w:before="120" w:after="120"/>
              <w:ind w:left="113" w:right="113"/>
              <w:rPr>
                <w:b/>
              </w:rPr>
            </w:pPr>
            <w:r w:rsidRPr="00912AE6">
              <w:rPr>
                <w:b/>
              </w:rPr>
              <w:t>Suites données par l’administration</w:t>
            </w:r>
          </w:p>
        </w:tc>
      </w:tr>
      <w:tr w:rsidR="00C606AB" w:rsidRPr="00AE62DD" w:rsidTr="00956464">
        <w:trPr>
          <w:jc w:val="center"/>
        </w:trPr>
        <w:tc>
          <w:tcPr>
            <w:tcW w:w="8075" w:type="dxa"/>
            <w:shd w:val="clear" w:color="auto" w:fill="auto"/>
          </w:tcPr>
          <w:p w:rsidR="00C855C8" w:rsidRPr="006E4CA8" w:rsidRDefault="00C606AB" w:rsidP="008B35D0">
            <w:pPr>
              <w:ind w:left="113" w:right="113"/>
              <w:rPr>
                <w:rFonts w:eastAsia="Times New Roman" w:cstheme="minorHAnsi"/>
                <w:b/>
                <w:lang w:eastAsia="fr-FR"/>
              </w:rPr>
            </w:pPr>
            <w:r w:rsidRPr="006E4CA8">
              <w:br w:type="page"/>
            </w:r>
            <w:r w:rsidR="00C855C8" w:rsidRPr="006E4CA8">
              <w:rPr>
                <w:rFonts w:eastAsia="Times New Roman" w:cstheme="minorHAnsi"/>
                <w:b/>
                <w:lang w:eastAsia="fr-FR"/>
              </w:rPr>
              <w:t>Avis 2021-05-20 n°9</w:t>
            </w:r>
          </w:p>
          <w:p w:rsidR="00C855C8" w:rsidRPr="006E4CA8" w:rsidRDefault="00C855C8" w:rsidP="008B35D0">
            <w:pPr>
              <w:ind w:left="113" w:right="113"/>
              <w:rPr>
                <w:rFonts w:eastAsia="Times New Roman" w:cstheme="minorHAnsi"/>
                <w:b/>
                <w:lang w:eastAsia="fr-FR"/>
              </w:rPr>
            </w:pPr>
          </w:p>
          <w:p w:rsidR="00C855C8" w:rsidRPr="006E4CA8" w:rsidRDefault="00C855C8" w:rsidP="008B35D0">
            <w:pPr>
              <w:ind w:left="113" w:right="113"/>
              <w:rPr>
                <w:rStyle w:val="fontstyle21"/>
                <w:rFonts w:asciiTheme="minorHAnsi" w:hAnsiTheme="minorHAnsi" w:cstheme="minorHAnsi"/>
                <w:sz w:val="22"/>
                <w:szCs w:val="22"/>
              </w:rPr>
            </w:pPr>
            <w:r w:rsidRPr="006E4CA8">
              <w:rPr>
                <w:rStyle w:val="fontstyle21"/>
                <w:rFonts w:asciiTheme="minorHAnsi" w:hAnsiTheme="minorHAnsi" w:cstheme="minorHAnsi"/>
                <w:sz w:val="22"/>
                <w:szCs w:val="22"/>
              </w:rPr>
              <w:t>La gestion des nouvelles missions liées à la crise sanitaire aggrave les conditions de travail des personnels infirmiers.  Les sollicitations répétées pour les tests les mettent dans</w:t>
            </w:r>
            <w:r w:rsidRPr="006E4CA8">
              <w:rPr>
                <w:rFonts w:cstheme="minorHAnsi"/>
                <w:color w:val="000000"/>
              </w:rPr>
              <w:t xml:space="preserve"> </w:t>
            </w:r>
            <w:r w:rsidRPr="006E4CA8">
              <w:rPr>
                <w:rStyle w:val="fontstyle21"/>
                <w:rFonts w:asciiTheme="minorHAnsi" w:hAnsiTheme="minorHAnsi" w:cstheme="minorHAnsi"/>
                <w:sz w:val="22"/>
                <w:szCs w:val="22"/>
              </w:rPr>
              <w:t>une position de plus en plus délicate et inconfortable. Beaucoup de</w:t>
            </w:r>
            <w:r w:rsidRPr="006E4CA8">
              <w:rPr>
                <w:rFonts w:cstheme="minorHAnsi"/>
                <w:color w:val="000000"/>
              </w:rPr>
              <w:br/>
            </w:r>
            <w:r w:rsidRPr="006E4CA8">
              <w:rPr>
                <w:rStyle w:val="fontstyle21"/>
                <w:rFonts w:asciiTheme="minorHAnsi" w:hAnsiTheme="minorHAnsi" w:cstheme="minorHAnsi"/>
                <w:sz w:val="22"/>
                <w:szCs w:val="22"/>
              </w:rPr>
              <w:t>collègues sont pour cette raison contraints de faire des choix au détriment de certains volets essentiels de leurs missions et particulièrement ceux concernant l'accueil et l'écoute, alors que les élèves en ont grandement besoin.</w:t>
            </w:r>
          </w:p>
          <w:p w:rsidR="00C606AB" w:rsidRPr="006E4CA8" w:rsidRDefault="00C855C8" w:rsidP="008B35D0">
            <w:pPr>
              <w:spacing w:after="160"/>
              <w:ind w:left="113" w:right="113"/>
              <w:rPr>
                <w:rFonts w:cstheme="minorHAnsi"/>
                <w:b/>
              </w:rPr>
            </w:pPr>
            <w:r w:rsidRPr="006E4CA8">
              <w:rPr>
                <w:rStyle w:val="fontstyle21"/>
                <w:rFonts w:asciiTheme="minorHAnsi" w:hAnsiTheme="minorHAnsi" w:cstheme="minorHAnsi"/>
                <w:sz w:val="22"/>
                <w:szCs w:val="22"/>
              </w:rPr>
              <w:t>Le CHSCTD demande à l’IA-DASEN ce qu’il compte mettre en place pour aider les personnels</w:t>
            </w:r>
            <w:r w:rsidRPr="006E4CA8">
              <w:rPr>
                <w:rFonts w:cstheme="minorHAnsi"/>
                <w:color w:val="000000"/>
              </w:rPr>
              <w:t xml:space="preserve"> </w:t>
            </w:r>
            <w:r w:rsidRPr="006E4CA8">
              <w:rPr>
                <w:rStyle w:val="fontstyle21"/>
                <w:rFonts w:asciiTheme="minorHAnsi" w:hAnsiTheme="minorHAnsi" w:cstheme="minorHAnsi"/>
                <w:sz w:val="22"/>
                <w:szCs w:val="22"/>
              </w:rPr>
              <w:t>infirmiers à faire face à la surcharge de travail occasionnée par la crise et à la</w:t>
            </w:r>
            <w:r w:rsidRPr="006E4CA8">
              <w:rPr>
                <w:rFonts w:cstheme="minorHAnsi"/>
                <w:color w:val="000000"/>
              </w:rPr>
              <w:t xml:space="preserve"> </w:t>
            </w:r>
            <w:r w:rsidRPr="006E4CA8">
              <w:rPr>
                <w:rStyle w:val="fontstyle21"/>
                <w:rFonts w:asciiTheme="minorHAnsi" w:hAnsiTheme="minorHAnsi" w:cstheme="minorHAnsi"/>
                <w:sz w:val="22"/>
                <w:szCs w:val="22"/>
              </w:rPr>
              <w:t>dégradation de leurs conditions de travail et ce qui est prévu pour leur permettre de poursuivre leurs actions essentielles d’écoute et de prévention auprès des élèves.</w:t>
            </w:r>
            <w:r w:rsidRPr="006E4CA8">
              <w:rPr>
                <w:rFonts w:ascii="ArialMT" w:hAnsi="ArialMT"/>
                <w:color w:val="000000"/>
              </w:rPr>
              <w:br/>
            </w:r>
          </w:p>
        </w:tc>
        <w:tc>
          <w:tcPr>
            <w:tcW w:w="7313" w:type="dxa"/>
            <w:vAlign w:val="center"/>
          </w:tcPr>
          <w:p w:rsidR="00C606AB" w:rsidRPr="006E4CA8" w:rsidRDefault="005C5145" w:rsidP="005C5145">
            <w:pPr>
              <w:ind w:left="113" w:right="113"/>
              <w:jc w:val="both"/>
              <w:rPr>
                <w:rFonts w:cstheme="minorHAnsi"/>
              </w:rPr>
            </w:pPr>
            <w:r w:rsidRPr="006E4CA8">
              <w:rPr>
                <w:rFonts w:cstheme="minorHAnsi"/>
              </w:rPr>
              <w:t xml:space="preserve">Les priorités ministérielles (DGESCO) en temps de crise sanitaire ont demandé aux infirmiers scolaires de revoir leurs missions. Ainsi des missions « crise sanitaire » ont </w:t>
            </w:r>
            <w:r w:rsidR="008643B1" w:rsidRPr="006E4CA8">
              <w:rPr>
                <w:rFonts w:cstheme="minorHAnsi"/>
              </w:rPr>
              <w:t>nécessairement impacté</w:t>
            </w:r>
            <w:r w:rsidRPr="006E4CA8">
              <w:rPr>
                <w:rFonts w:cstheme="minorHAnsi"/>
              </w:rPr>
              <w:t xml:space="preserve"> les missions habituelles </w:t>
            </w:r>
            <w:r w:rsidR="008643B1" w:rsidRPr="006E4CA8">
              <w:rPr>
                <w:rFonts w:cstheme="minorHAnsi"/>
              </w:rPr>
              <w:t xml:space="preserve">avec des degrés divers </w:t>
            </w:r>
            <w:r w:rsidRPr="006E4CA8">
              <w:rPr>
                <w:rFonts w:cstheme="minorHAnsi"/>
              </w:rPr>
              <w:t>selon les établissements. Dans le cadre de ces nouvelles missions, l’infirmier conseiller technique a accompagné les personnels infirmiers sur le terrain, dispensant des formations de manière régulière, se tenant toujours présent pour apporter le soutien nécessaire à l’ensemble de ces personnels. Toutes les situations critiques et urgentes ont pu être suivies pour y apporter une réponse.</w:t>
            </w:r>
          </w:p>
        </w:tc>
      </w:tr>
      <w:tr w:rsidR="00C606AB" w:rsidRPr="00AE62DD" w:rsidTr="00956464">
        <w:trPr>
          <w:jc w:val="center"/>
        </w:trPr>
        <w:tc>
          <w:tcPr>
            <w:tcW w:w="8075" w:type="dxa"/>
            <w:shd w:val="clear" w:color="auto" w:fill="auto"/>
          </w:tcPr>
          <w:p w:rsidR="00C855C8" w:rsidRPr="00C855C8" w:rsidRDefault="00C855C8" w:rsidP="008B35D0">
            <w:pPr>
              <w:ind w:left="113" w:right="113"/>
              <w:rPr>
                <w:rFonts w:eastAsia="Times New Roman" w:cstheme="minorHAnsi"/>
                <w:b/>
                <w:lang w:eastAsia="fr-FR"/>
              </w:rPr>
            </w:pPr>
            <w:r w:rsidRPr="00C855C8">
              <w:rPr>
                <w:rFonts w:eastAsia="Times New Roman" w:cstheme="minorHAnsi"/>
                <w:b/>
                <w:lang w:eastAsia="fr-FR"/>
              </w:rPr>
              <w:t>Avis 2021-05-20 n°10</w:t>
            </w:r>
          </w:p>
          <w:p w:rsidR="00C855C8" w:rsidRPr="00C855C8" w:rsidRDefault="00C855C8" w:rsidP="008B35D0">
            <w:pPr>
              <w:ind w:left="113" w:right="113"/>
              <w:rPr>
                <w:rFonts w:eastAsia="Times New Roman" w:cstheme="minorHAnsi"/>
                <w:b/>
                <w:lang w:eastAsia="fr-FR"/>
              </w:rPr>
            </w:pPr>
          </w:p>
          <w:p w:rsidR="00C606AB" w:rsidRDefault="00C855C8" w:rsidP="008B35D0">
            <w:pPr>
              <w:ind w:left="113" w:right="113"/>
              <w:rPr>
                <w:rFonts w:cstheme="minorHAnsi"/>
              </w:rPr>
            </w:pPr>
            <w:r w:rsidRPr="00C855C8">
              <w:rPr>
                <w:rFonts w:cstheme="minorHAnsi"/>
              </w:rPr>
              <w:t xml:space="preserve">Suite à la réponse non explicite à l’avis n° 4 du 18 février 2021, le CHSCTD67 demande à l’IA-DASEN d’appliquer la loi du 11 février 2005, qui impose à l’employeur de prendre les mesures appropriées pour permettre aux travailleurs handicapés d’exercer un emploi correspondant à leur qualification de l'exercer ou d'y progresser. Il rappelle que l’IA-DASEN est responsable de la santé au travail de tous les agents mis sous sa responsabilité. Si le poste est inadapté au personnel ayant une RQTH et si cette situation de travail entraîne une dégradation de sa santé, il est du devoir de l’employeur de faire cesser cette situation. </w:t>
            </w:r>
            <w:r w:rsidRPr="00002C66">
              <w:rPr>
                <w:rFonts w:cstheme="minorHAnsi"/>
              </w:rPr>
              <w:t>Le CHSCTD67 demande que les chefs d’établissements, chefs de service et IEN soient informés qu’un avis de la médecine de prévention préconisant une adaptation du poste du travail d’un personnel en situation de handicap doit être suivi.</w:t>
            </w:r>
            <w:r w:rsidRPr="00C855C8">
              <w:rPr>
                <w:rFonts w:cstheme="minorHAnsi"/>
              </w:rPr>
              <w:t xml:space="preserve"> Un refus pourrait être constitutif d’une discrimination. En cas de réponse « non explicite » ou négative à cet avis, le CHSCTD67 saisira l’ISST.</w:t>
            </w:r>
          </w:p>
          <w:p w:rsidR="00C855C8" w:rsidRPr="00C855C8" w:rsidRDefault="00C855C8" w:rsidP="008B35D0">
            <w:pPr>
              <w:ind w:left="113" w:right="113"/>
              <w:rPr>
                <w:rFonts w:cstheme="minorHAnsi"/>
              </w:rPr>
            </w:pPr>
          </w:p>
        </w:tc>
        <w:tc>
          <w:tcPr>
            <w:tcW w:w="7313" w:type="dxa"/>
            <w:vAlign w:val="center"/>
          </w:tcPr>
          <w:p w:rsidR="00F36CC5" w:rsidRPr="0036000A" w:rsidRDefault="008643B1" w:rsidP="008B35D0">
            <w:pPr>
              <w:spacing w:after="160" w:line="259" w:lineRule="auto"/>
              <w:ind w:left="113" w:right="113"/>
              <w:contextualSpacing/>
              <w:rPr>
                <w:rFonts w:cstheme="minorHAnsi"/>
              </w:rPr>
            </w:pPr>
            <w:r w:rsidRPr="006E4CA8">
              <w:rPr>
                <w:rFonts w:cstheme="minorHAnsi"/>
              </w:rPr>
              <w:t>Il</w:t>
            </w:r>
            <w:r w:rsidR="00F36CC5" w:rsidRPr="006E4CA8">
              <w:rPr>
                <w:rFonts w:cstheme="minorHAnsi"/>
              </w:rPr>
              <w:t xml:space="preserve"> revient aux </w:t>
            </w:r>
            <w:r w:rsidR="00F36CC5" w:rsidRPr="0036000A">
              <w:rPr>
                <w:rFonts w:cstheme="minorHAnsi"/>
              </w:rPr>
              <w:t xml:space="preserve">chefs d’établissements ou de services de faire un retour par écrit aux médecins du travail et à l’agent faisant état de la non possibilité de mise en place de toutes les préconisations. Il conviendra de revoir le schéma de transition des informations dans ces cas. </w:t>
            </w:r>
          </w:p>
          <w:p w:rsidR="00C606AB" w:rsidRPr="00682301" w:rsidRDefault="00C606AB" w:rsidP="008B35D0">
            <w:pPr>
              <w:ind w:left="113" w:right="113"/>
              <w:rPr>
                <w:rFonts w:cstheme="minorHAnsi"/>
              </w:rPr>
            </w:pPr>
          </w:p>
        </w:tc>
      </w:tr>
      <w:tr w:rsidR="0010778E" w:rsidRPr="00AE62DD" w:rsidTr="00956464">
        <w:trPr>
          <w:jc w:val="center"/>
        </w:trPr>
        <w:tc>
          <w:tcPr>
            <w:tcW w:w="8075" w:type="dxa"/>
            <w:shd w:val="clear" w:color="auto" w:fill="auto"/>
          </w:tcPr>
          <w:p w:rsidR="0010778E" w:rsidRPr="006E4CA8" w:rsidRDefault="0010778E" w:rsidP="008B35D0">
            <w:pPr>
              <w:ind w:left="113" w:right="113"/>
              <w:rPr>
                <w:rFonts w:eastAsia="Times New Roman" w:cstheme="minorHAnsi"/>
                <w:b/>
                <w:lang w:eastAsia="fr-FR"/>
              </w:rPr>
            </w:pPr>
            <w:r w:rsidRPr="006E4CA8">
              <w:rPr>
                <w:rFonts w:eastAsia="Times New Roman" w:cstheme="minorHAnsi"/>
                <w:b/>
                <w:lang w:eastAsia="fr-FR"/>
              </w:rPr>
              <w:lastRenderedPageBreak/>
              <w:t>Avis 2021-05-20 n°11</w:t>
            </w:r>
          </w:p>
          <w:p w:rsidR="0010778E" w:rsidRPr="006E4CA8" w:rsidRDefault="0010778E" w:rsidP="008B35D0">
            <w:pPr>
              <w:ind w:left="113" w:right="113"/>
              <w:rPr>
                <w:rFonts w:eastAsia="Times New Roman" w:cstheme="minorHAnsi"/>
                <w:b/>
                <w:lang w:eastAsia="fr-FR"/>
              </w:rPr>
            </w:pPr>
          </w:p>
          <w:p w:rsidR="0010778E" w:rsidRPr="006E4CA8" w:rsidRDefault="0010778E" w:rsidP="008B35D0">
            <w:pPr>
              <w:ind w:left="113" w:right="113"/>
              <w:rPr>
                <w:rFonts w:eastAsia="Times New Roman" w:cstheme="minorHAnsi"/>
                <w:b/>
                <w:lang w:eastAsia="fr-FR"/>
              </w:rPr>
            </w:pPr>
            <w:r w:rsidRPr="006E4CA8">
              <w:rPr>
                <w:rFonts w:eastAsia="Times New Roman" w:cstheme="minorHAnsi"/>
                <w:lang w:eastAsia="fr-FR"/>
              </w:rPr>
              <w:t>Concernant la dernière phrase de la réponse à l’avis n°4</w:t>
            </w:r>
            <w:r w:rsidRPr="006E4CA8">
              <w:rPr>
                <w:rFonts w:cstheme="minorHAnsi"/>
              </w:rPr>
              <w:t xml:space="preserve"> du 18 février 2021, le CHSCTD67 demande à l’IA-DASEN comme il est mentionné dans l’article 26 du décret 82-453 du 28 mai 1982 consolidé de l’informer des avis qui ne sont pas suivis puisque ce sont les chefs d’établissements, chefs de service et IEN qui refusent d’appliquer les avis émis.</w:t>
            </w:r>
            <w:r w:rsidRPr="006E4CA8">
              <w:rPr>
                <w:rFonts w:eastAsia="Times New Roman" w:cstheme="minorHAnsi"/>
                <w:lang w:eastAsia="fr-FR"/>
              </w:rPr>
              <w:t xml:space="preserve"> Le CHSCTD67 estime que la médecine de prévention n’a pas les moyens d’investigation nécessaire pour le faire.</w:t>
            </w:r>
          </w:p>
          <w:p w:rsidR="0010778E" w:rsidRPr="006E4CA8" w:rsidRDefault="0010778E" w:rsidP="008B35D0">
            <w:pPr>
              <w:tabs>
                <w:tab w:val="left" w:pos="2472"/>
              </w:tabs>
              <w:ind w:left="113" w:right="113"/>
              <w:rPr>
                <w:rFonts w:eastAsia="Times New Roman" w:cstheme="minorHAnsi"/>
                <w:b/>
                <w:lang w:eastAsia="fr-FR"/>
              </w:rPr>
            </w:pPr>
          </w:p>
        </w:tc>
        <w:tc>
          <w:tcPr>
            <w:tcW w:w="7313" w:type="dxa"/>
            <w:vAlign w:val="center"/>
          </w:tcPr>
          <w:p w:rsidR="0010778E" w:rsidRPr="006E4CA8" w:rsidRDefault="008643B1" w:rsidP="008B35D0">
            <w:pPr>
              <w:spacing w:after="160" w:line="259" w:lineRule="auto"/>
              <w:ind w:left="113" w:right="113"/>
              <w:contextualSpacing/>
              <w:rPr>
                <w:rFonts w:cstheme="minorHAnsi"/>
              </w:rPr>
            </w:pPr>
            <w:r w:rsidRPr="006E4CA8">
              <w:rPr>
                <w:rFonts w:cstheme="minorHAnsi"/>
              </w:rPr>
              <w:t>Il</w:t>
            </w:r>
            <w:r w:rsidR="0010778E" w:rsidRPr="006E4CA8">
              <w:rPr>
                <w:rFonts w:cstheme="minorHAnsi"/>
              </w:rPr>
              <w:t xml:space="preserve"> revient aux chefs d’établissements ou de services de faire un retour par écrit aux médecins du travail et à l’agent faisant état de la non possibilité de mise en place de toutes les préconisations. Il conviendra de revoir le schéma de transition des informations dans ces cas. </w:t>
            </w:r>
          </w:p>
          <w:p w:rsidR="0010778E" w:rsidRPr="006E4CA8" w:rsidRDefault="0010778E" w:rsidP="008B35D0">
            <w:pPr>
              <w:spacing w:after="160" w:line="259" w:lineRule="auto"/>
              <w:ind w:left="113" w:right="113"/>
              <w:contextualSpacing/>
              <w:rPr>
                <w:rFonts w:cstheme="minorHAnsi"/>
              </w:rPr>
            </w:pPr>
          </w:p>
        </w:tc>
      </w:tr>
      <w:tr w:rsidR="00C855C8" w:rsidRPr="00AE62DD" w:rsidTr="00956464">
        <w:trPr>
          <w:jc w:val="center"/>
        </w:trPr>
        <w:tc>
          <w:tcPr>
            <w:tcW w:w="8075" w:type="dxa"/>
            <w:shd w:val="clear" w:color="auto" w:fill="auto"/>
          </w:tcPr>
          <w:p w:rsidR="00C855C8" w:rsidRPr="008B35D0" w:rsidRDefault="00C855C8" w:rsidP="008B35D0">
            <w:pPr>
              <w:ind w:left="113" w:right="113"/>
              <w:rPr>
                <w:rFonts w:eastAsia="Times New Roman" w:cstheme="minorHAnsi"/>
                <w:b/>
                <w:lang w:eastAsia="fr-FR"/>
              </w:rPr>
            </w:pPr>
            <w:r w:rsidRPr="008B35D0">
              <w:rPr>
                <w:rFonts w:eastAsia="Times New Roman" w:cstheme="minorHAnsi"/>
                <w:b/>
                <w:lang w:eastAsia="fr-FR"/>
              </w:rPr>
              <w:t>Avis 2021-05-20 n°12</w:t>
            </w:r>
          </w:p>
          <w:p w:rsidR="00C855C8" w:rsidRPr="008B35D0" w:rsidRDefault="00C855C8" w:rsidP="008B35D0">
            <w:pPr>
              <w:ind w:left="113" w:right="113"/>
              <w:rPr>
                <w:rFonts w:eastAsia="Times New Roman" w:cstheme="minorHAnsi"/>
                <w:b/>
                <w:lang w:eastAsia="fr-FR"/>
              </w:rPr>
            </w:pPr>
          </w:p>
          <w:p w:rsidR="00C855C8" w:rsidRPr="008B35D0" w:rsidRDefault="00C855C8" w:rsidP="008B35D0">
            <w:pPr>
              <w:ind w:left="113" w:right="113"/>
              <w:rPr>
                <w:rFonts w:cstheme="minorHAnsi"/>
              </w:rPr>
            </w:pPr>
            <w:r w:rsidRPr="008B35D0">
              <w:rPr>
                <w:rFonts w:cstheme="minorHAnsi"/>
              </w:rPr>
              <w:t>Au vu du nombre de dossiers suivis par le psychologue de la circonscription de Strasbourg IV, le CHSCTD alerte l’IA-DASEN sur les risques d’épuisement professionnel. Le CHSCTD préconise à l’IA-DASEN la création d’un demi-poste supplémentaire lors du CTSD du mois de juin.</w:t>
            </w:r>
          </w:p>
          <w:p w:rsidR="00C855C8" w:rsidRPr="008B35D0" w:rsidRDefault="00C855C8" w:rsidP="008B35D0">
            <w:pPr>
              <w:ind w:left="113" w:right="113"/>
              <w:rPr>
                <w:rFonts w:eastAsia="Times New Roman" w:cstheme="minorHAnsi"/>
                <w:b/>
                <w:lang w:eastAsia="fr-FR"/>
              </w:rPr>
            </w:pPr>
          </w:p>
        </w:tc>
        <w:tc>
          <w:tcPr>
            <w:tcW w:w="7313" w:type="dxa"/>
            <w:vAlign w:val="center"/>
          </w:tcPr>
          <w:p w:rsidR="00C855C8" w:rsidRPr="006E4CA8" w:rsidRDefault="00E44B6D" w:rsidP="006E4CA8">
            <w:pPr>
              <w:spacing w:after="240"/>
              <w:ind w:left="113" w:right="113"/>
              <w:rPr>
                <w:rFonts w:eastAsia="Times New Roman" w:cstheme="minorHAnsi"/>
                <w:lang w:eastAsia="fr-FR"/>
              </w:rPr>
            </w:pPr>
            <w:r w:rsidRPr="006E4CA8">
              <w:rPr>
                <w:rFonts w:eastAsia="Times New Roman" w:cstheme="minorHAnsi"/>
                <w:lang w:eastAsia="fr-FR"/>
              </w:rPr>
              <w:t>La</w:t>
            </w:r>
            <w:r w:rsidR="008B35D0" w:rsidRPr="006E4CA8">
              <w:rPr>
                <w:rFonts w:eastAsia="Times New Roman" w:cstheme="minorHAnsi"/>
                <w:lang w:eastAsia="fr-FR"/>
              </w:rPr>
              <w:t xml:space="preserve"> procédure </w:t>
            </w:r>
            <w:r w:rsidRPr="006E4CA8">
              <w:rPr>
                <w:rFonts w:eastAsia="Times New Roman" w:cstheme="minorHAnsi"/>
                <w:lang w:eastAsia="fr-FR"/>
              </w:rPr>
              <w:t>de transformation d’un demi-poste enseignant du 1</w:t>
            </w:r>
            <w:r w:rsidRPr="006E4CA8">
              <w:rPr>
                <w:rFonts w:eastAsia="Times New Roman" w:cstheme="minorHAnsi"/>
                <w:vertAlign w:val="superscript"/>
                <w:lang w:eastAsia="fr-FR"/>
              </w:rPr>
              <w:t>er</w:t>
            </w:r>
            <w:r w:rsidRPr="006E4CA8">
              <w:rPr>
                <w:rFonts w:eastAsia="Times New Roman" w:cstheme="minorHAnsi"/>
                <w:lang w:eastAsia="fr-FR"/>
              </w:rPr>
              <w:t xml:space="preserve"> degré en demi-poste psychologue éducation nationale </w:t>
            </w:r>
            <w:r w:rsidR="008B35D0" w:rsidRPr="006E4CA8">
              <w:rPr>
                <w:rFonts w:eastAsia="Times New Roman" w:cstheme="minorHAnsi"/>
                <w:lang w:eastAsia="fr-FR"/>
              </w:rPr>
              <w:t xml:space="preserve">auprès du rectorat et de la </w:t>
            </w:r>
            <w:r w:rsidR="006E4CA8" w:rsidRPr="006E4CA8">
              <w:rPr>
                <w:rFonts w:eastAsia="Times New Roman" w:cstheme="minorHAnsi"/>
                <w:lang w:eastAsia="fr-FR"/>
              </w:rPr>
              <w:t>DGESCO</w:t>
            </w:r>
            <w:r w:rsidR="008B35D0" w:rsidRPr="006E4CA8">
              <w:rPr>
                <w:rFonts w:eastAsia="Times New Roman" w:cstheme="minorHAnsi"/>
                <w:lang w:eastAsia="fr-FR"/>
              </w:rPr>
              <w:t xml:space="preserve"> </w:t>
            </w:r>
            <w:r w:rsidRPr="006E4CA8">
              <w:rPr>
                <w:rFonts w:eastAsia="Times New Roman" w:cstheme="minorHAnsi"/>
                <w:lang w:eastAsia="fr-FR"/>
              </w:rPr>
              <w:t xml:space="preserve">a été acceptée. Le </w:t>
            </w:r>
            <w:r w:rsidR="008B35D0" w:rsidRPr="006E4CA8">
              <w:rPr>
                <w:rFonts w:eastAsia="Times New Roman" w:cstheme="minorHAnsi"/>
                <w:lang w:eastAsia="fr-FR"/>
              </w:rPr>
              <w:t xml:space="preserve">demi-poste pourra être pourvu de manière contractuelle à partir de la rentrée prochaine. </w:t>
            </w:r>
          </w:p>
        </w:tc>
      </w:tr>
      <w:tr w:rsidR="00C855C8" w:rsidRPr="00AE62DD" w:rsidTr="00956464">
        <w:trPr>
          <w:jc w:val="center"/>
        </w:trPr>
        <w:tc>
          <w:tcPr>
            <w:tcW w:w="8075" w:type="dxa"/>
            <w:shd w:val="clear" w:color="auto" w:fill="auto"/>
          </w:tcPr>
          <w:p w:rsidR="00C855C8" w:rsidRPr="008B35D0" w:rsidRDefault="00C855C8" w:rsidP="008B35D0">
            <w:pPr>
              <w:ind w:left="113" w:right="113"/>
              <w:rPr>
                <w:rFonts w:eastAsia="Times New Roman" w:cstheme="minorHAnsi"/>
                <w:b/>
                <w:lang w:eastAsia="fr-FR"/>
              </w:rPr>
            </w:pPr>
            <w:r w:rsidRPr="008B35D0">
              <w:rPr>
                <w:rFonts w:eastAsia="Times New Roman" w:cstheme="minorHAnsi"/>
                <w:b/>
                <w:lang w:eastAsia="fr-FR"/>
              </w:rPr>
              <w:t>Avis 2021-05-20 n°13</w:t>
            </w:r>
          </w:p>
          <w:p w:rsidR="00C855C8" w:rsidRPr="008B35D0" w:rsidRDefault="00C855C8" w:rsidP="008B35D0">
            <w:pPr>
              <w:ind w:left="113" w:right="113"/>
              <w:rPr>
                <w:rFonts w:eastAsia="Times New Roman" w:cstheme="minorHAnsi"/>
                <w:b/>
                <w:lang w:eastAsia="fr-FR"/>
              </w:rPr>
            </w:pPr>
          </w:p>
          <w:p w:rsidR="00C855C8" w:rsidRPr="008B35D0" w:rsidRDefault="00C855C8" w:rsidP="008B35D0">
            <w:pPr>
              <w:ind w:left="113" w:right="113"/>
              <w:rPr>
                <w:rFonts w:cstheme="minorHAnsi"/>
              </w:rPr>
            </w:pPr>
            <w:r w:rsidRPr="008B35D0">
              <w:rPr>
                <w:rFonts w:cstheme="minorHAnsi"/>
              </w:rPr>
              <w:t>Suite à la visite du CHSCTD à l’école Picasso d’Obernai, le CHSCTD alerte l’IA-DASEN sur la concentration de la difficulté scolaire dans cette école et sur l’effectif excessif d’élèves inscrits dans le dispositif ULIS. Il préconise à l’IA-DASEN l’ouverture d’une ULIS supplémentaire à Obernai à l’école Freppel.</w:t>
            </w:r>
          </w:p>
          <w:p w:rsidR="00C855C8" w:rsidRPr="008B35D0" w:rsidRDefault="00C855C8" w:rsidP="008B35D0">
            <w:pPr>
              <w:ind w:left="113" w:right="113"/>
              <w:rPr>
                <w:rFonts w:eastAsia="Times New Roman" w:cstheme="minorHAnsi"/>
                <w:b/>
                <w:lang w:eastAsia="fr-FR"/>
              </w:rPr>
            </w:pPr>
          </w:p>
        </w:tc>
        <w:tc>
          <w:tcPr>
            <w:tcW w:w="7313" w:type="dxa"/>
            <w:vAlign w:val="center"/>
          </w:tcPr>
          <w:p w:rsidR="0036000A" w:rsidRPr="006E4CA8" w:rsidRDefault="0036000A" w:rsidP="008B35D0">
            <w:pPr>
              <w:ind w:left="113" w:right="113"/>
              <w:rPr>
                <w:rFonts w:eastAsia="Times New Roman" w:cstheme="minorHAnsi"/>
                <w:lang w:eastAsia="fr-FR"/>
              </w:rPr>
            </w:pPr>
            <w:r w:rsidRPr="006E4CA8">
              <w:rPr>
                <w:rFonts w:eastAsia="Times New Roman" w:cstheme="minorHAnsi"/>
                <w:lang w:eastAsia="fr-FR"/>
              </w:rPr>
              <w:t>Le service ASH a pu affecter l'ensemble des élèves notifiés pour une ULIS dans l’école élémentaire Pablo Picasso pour la rentrée prochaine. Des dossiers de première demande sont en cours de construction mais pas actifs à ce jour, ne justifiant donc pas l'ouverture d'un second dispositif ULIS.</w:t>
            </w:r>
          </w:p>
          <w:p w:rsidR="0036000A" w:rsidRPr="006E4CA8" w:rsidRDefault="0036000A" w:rsidP="008B35D0">
            <w:pPr>
              <w:ind w:left="113" w:right="113"/>
              <w:rPr>
                <w:rFonts w:eastAsia="Times New Roman" w:cstheme="minorHAnsi"/>
                <w:lang w:eastAsia="fr-FR"/>
              </w:rPr>
            </w:pPr>
            <w:r w:rsidRPr="006E4CA8">
              <w:rPr>
                <w:rFonts w:eastAsia="Times New Roman" w:cstheme="minorHAnsi"/>
                <w:lang w:eastAsia="fr-FR"/>
              </w:rPr>
              <w:t>L’IEN-ASH restera très attentive à l'évolution de la situation, notamment dans l'étude de la carte scolaire pour 2022.</w:t>
            </w:r>
          </w:p>
          <w:p w:rsidR="00C855C8" w:rsidRPr="006E4CA8" w:rsidRDefault="00C855C8" w:rsidP="008B35D0">
            <w:pPr>
              <w:ind w:left="113" w:right="113"/>
              <w:rPr>
                <w:rFonts w:cstheme="minorHAnsi"/>
              </w:rPr>
            </w:pPr>
          </w:p>
        </w:tc>
      </w:tr>
      <w:tr w:rsidR="00C855C8" w:rsidRPr="00AE62DD" w:rsidTr="00956464">
        <w:trPr>
          <w:jc w:val="center"/>
        </w:trPr>
        <w:tc>
          <w:tcPr>
            <w:tcW w:w="8075" w:type="dxa"/>
            <w:shd w:val="clear" w:color="auto" w:fill="auto"/>
          </w:tcPr>
          <w:p w:rsidR="00C855C8" w:rsidRPr="008B35D0" w:rsidRDefault="00C855C8" w:rsidP="008B35D0">
            <w:pPr>
              <w:ind w:left="113" w:right="113"/>
              <w:rPr>
                <w:rFonts w:eastAsia="Times New Roman" w:cstheme="minorHAnsi"/>
                <w:b/>
                <w:lang w:eastAsia="fr-FR"/>
              </w:rPr>
            </w:pPr>
            <w:r w:rsidRPr="008B35D0">
              <w:rPr>
                <w:rFonts w:eastAsia="Times New Roman" w:cstheme="minorHAnsi"/>
                <w:b/>
                <w:lang w:eastAsia="fr-FR"/>
              </w:rPr>
              <w:t>Avis 2021-05-20 n°14</w:t>
            </w:r>
          </w:p>
          <w:p w:rsidR="00C855C8" w:rsidRPr="008B35D0" w:rsidRDefault="00C855C8" w:rsidP="008B35D0">
            <w:pPr>
              <w:ind w:left="113" w:right="113"/>
              <w:rPr>
                <w:rFonts w:eastAsia="Times New Roman" w:cstheme="minorHAnsi"/>
                <w:b/>
                <w:lang w:eastAsia="fr-FR"/>
              </w:rPr>
            </w:pPr>
          </w:p>
          <w:p w:rsidR="00C855C8" w:rsidRPr="008B35D0" w:rsidRDefault="00C855C8" w:rsidP="008B35D0">
            <w:pPr>
              <w:ind w:left="113" w:right="113"/>
              <w:rPr>
                <w:rFonts w:cstheme="minorHAnsi"/>
              </w:rPr>
            </w:pPr>
            <w:r w:rsidRPr="008B35D0">
              <w:rPr>
                <w:rFonts w:cstheme="minorHAnsi"/>
              </w:rPr>
              <w:t>Les membres du CHSCTD67 demandent à l’IA-DASEN de motiver par écrit les refus des demandes de disponibilité et temps partiels qu’il prononce et de recevoir les personnels qui le demanderaient.</w:t>
            </w:r>
          </w:p>
          <w:p w:rsidR="00C855C8" w:rsidRPr="008B35D0" w:rsidRDefault="00C855C8" w:rsidP="008B35D0">
            <w:pPr>
              <w:ind w:left="113" w:right="113"/>
              <w:rPr>
                <w:rFonts w:eastAsia="Times New Roman" w:cstheme="minorHAnsi"/>
                <w:b/>
                <w:lang w:eastAsia="fr-FR"/>
              </w:rPr>
            </w:pPr>
          </w:p>
        </w:tc>
        <w:tc>
          <w:tcPr>
            <w:tcW w:w="7313" w:type="dxa"/>
            <w:vAlign w:val="center"/>
          </w:tcPr>
          <w:p w:rsidR="00C855C8" w:rsidRPr="00E44B6D" w:rsidRDefault="00CF10DA" w:rsidP="00E44B6D">
            <w:pPr>
              <w:spacing w:after="160" w:line="259" w:lineRule="auto"/>
              <w:ind w:left="113" w:right="113"/>
              <w:contextualSpacing/>
              <w:rPr>
                <w:rFonts w:cstheme="minorHAnsi"/>
              </w:rPr>
            </w:pPr>
            <w:r w:rsidRPr="008B35D0">
              <w:rPr>
                <w:rFonts w:cstheme="minorHAnsi"/>
              </w:rPr>
              <w:t>L</w:t>
            </w:r>
            <w:r w:rsidR="00D509B8" w:rsidRPr="008B35D0">
              <w:rPr>
                <w:rFonts w:cstheme="minorHAnsi"/>
              </w:rPr>
              <w:t xml:space="preserve">es </w:t>
            </w:r>
            <w:r w:rsidRPr="008B35D0">
              <w:rPr>
                <w:rFonts w:cstheme="minorHAnsi"/>
              </w:rPr>
              <w:t xml:space="preserve">courriers envoyés aux intéressés incluent le motif de refus de demande de disponibilité et de temps partiels. Si les personnels le veulent, ils peuvent </w:t>
            </w:r>
            <w:r w:rsidR="00D509B8" w:rsidRPr="008B35D0">
              <w:rPr>
                <w:rFonts w:cstheme="minorHAnsi"/>
              </w:rPr>
              <w:t xml:space="preserve">prendre RDV pour un entretien. Les refus de temps partiels ont été précédé d’un entretien avec l’IEN de la circonscription. </w:t>
            </w:r>
          </w:p>
        </w:tc>
      </w:tr>
    </w:tbl>
    <w:p w:rsidR="00C606AB" w:rsidRPr="008F7261" w:rsidRDefault="00C606AB" w:rsidP="00E44B6D">
      <w:pPr>
        <w:ind w:right="113"/>
        <w:rPr>
          <w:i/>
          <w:color w:val="000000"/>
          <w:shd w:val="clear" w:color="auto" w:fill="FFFFFF"/>
          <w:lang w:eastAsia="fr-FR"/>
        </w:rPr>
      </w:pPr>
    </w:p>
    <w:sectPr w:rsidR="00C606AB" w:rsidRPr="008F7261" w:rsidSect="00F573D0">
      <w:headerReference w:type="default" r:id="rId8"/>
      <w:footerReference w:type="default" r:id="rId9"/>
      <w:pgSz w:w="16838" w:h="11906" w:orient="landscape"/>
      <w:pgMar w:top="567" w:right="720" w:bottom="567"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01" w:rsidRDefault="00F61201" w:rsidP="00A30769">
      <w:pPr>
        <w:spacing w:after="0"/>
      </w:pPr>
      <w:r>
        <w:separator/>
      </w:r>
    </w:p>
  </w:endnote>
  <w:endnote w:type="continuationSeparator" w:id="0">
    <w:p w:rsidR="00F61201" w:rsidRDefault="00F61201" w:rsidP="00A30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AB" w:rsidRDefault="008327AB">
    <w:pPr>
      <w:pStyle w:val="Pieddepage"/>
    </w:pPr>
    <w:r>
      <w:fldChar w:fldCharType="begin"/>
    </w:r>
    <w:r>
      <w:instrText xml:space="preserve"> PAGE   \* MERGEFORMAT </w:instrText>
    </w:r>
    <w:r>
      <w:fldChar w:fldCharType="separate"/>
    </w:r>
    <w:r w:rsidR="003A7575">
      <w:rPr>
        <w:noProof/>
      </w:rPr>
      <w:t>1</w:t>
    </w:r>
    <w:r>
      <w:fldChar w:fldCharType="end"/>
    </w:r>
    <w:r>
      <w:t>/</w:t>
    </w:r>
    <w:fldSimple w:instr=" NUMPAGES   \* MERGEFORMAT ">
      <w:r w:rsidR="003A757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01" w:rsidRDefault="00F61201" w:rsidP="00A30769">
      <w:pPr>
        <w:spacing w:after="0"/>
      </w:pPr>
      <w:r>
        <w:separator/>
      </w:r>
    </w:p>
  </w:footnote>
  <w:footnote w:type="continuationSeparator" w:id="0">
    <w:p w:rsidR="00F61201" w:rsidRDefault="00F61201" w:rsidP="00A30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769" w:rsidRDefault="004E5E5E" w:rsidP="00A30769">
    <w:pPr>
      <w:tabs>
        <w:tab w:val="left" w:pos="360"/>
        <w:tab w:val="center" w:pos="7699"/>
      </w:tabs>
      <w:spacing w:after="0"/>
      <w:rPr>
        <w:b/>
      </w:rPr>
    </w:pPr>
    <w:r>
      <w:rPr>
        <w:b/>
        <w:noProof/>
        <w:lang w:eastAsia="fr-FR"/>
      </w:rPr>
      <w:drawing>
        <wp:anchor distT="0" distB="0" distL="114300" distR="114300" simplePos="0" relativeHeight="251658240" behindDoc="1" locked="0" layoutInCell="1" allowOverlap="1">
          <wp:simplePos x="0" y="0"/>
          <wp:positionH relativeFrom="column">
            <wp:posOffset>-200025</wp:posOffset>
          </wp:positionH>
          <wp:positionV relativeFrom="paragraph">
            <wp:posOffset>-335915</wp:posOffset>
          </wp:positionV>
          <wp:extent cx="3706495" cy="1176655"/>
          <wp:effectExtent l="0" t="0" r="825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1176655"/>
                  </a:xfrm>
                  <a:prstGeom prst="rect">
                    <a:avLst/>
                  </a:prstGeom>
                  <a:noFill/>
                </pic:spPr>
              </pic:pic>
            </a:graphicData>
          </a:graphic>
          <wp14:sizeRelH relativeFrom="page">
            <wp14:pctWidth>0</wp14:pctWidth>
          </wp14:sizeRelH>
          <wp14:sizeRelV relativeFrom="page">
            <wp14:pctHeight>0</wp14:pctHeight>
          </wp14:sizeRelV>
        </wp:anchor>
      </w:drawing>
    </w:r>
    <w:r w:rsidR="00A30769">
      <w:rPr>
        <w:b/>
      </w:rPr>
      <w:tab/>
    </w:r>
    <w:r w:rsidR="00A30769">
      <w:rPr>
        <w:b/>
      </w:rPr>
      <w:tab/>
    </w:r>
  </w:p>
  <w:p w:rsidR="00A30769" w:rsidRPr="00912AE6" w:rsidRDefault="00A30769" w:rsidP="00A30769">
    <w:pPr>
      <w:tabs>
        <w:tab w:val="left" w:pos="360"/>
        <w:tab w:val="center" w:pos="7699"/>
      </w:tabs>
      <w:spacing w:after="0"/>
      <w:jc w:val="center"/>
      <w:rPr>
        <w:b/>
      </w:rPr>
    </w:pPr>
    <w:r w:rsidRPr="00912AE6">
      <w:rPr>
        <w:b/>
      </w:rPr>
      <w:t>AVIS EMIS PAR LE CHSCTD DU BAS-RHIN</w:t>
    </w:r>
  </w:p>
  <w:p w:rsidR="00A30769" w:rsidRDefault="00A30769" w:rsidP="00A30769">
    <w:pPr>
      <w:pStyle w:val="En-tte"/>
      <w:jc w:val="center"/>
      <w:rPr>
        <w:b/>
      </w:rPr>
    </w:pPr>
    <w:r w:rsidRPr="00912AE6">
      <w:rPr>
        <w:b/>
      </w:rPr>
      <w:t xml:space="preserve">Réunion du </w:t>
    </w:r>
    <w:r w:rsidR="00C855C8">
      <w:rPr>
        <w:b/>
      </w:rPr>
      <w:t>20 mai</w:t>
    </w:r>
    <w:r w:rsidR="00D344A5">
      <w:rPr>
        <w:b/>
      </w:rPr>
      <w:t xml:space="preserve"> </w:t>
    </w:r>
    <w:r w:rsidR="00964C97">
      <w:rPr>
        <w:b/>
      </w:rPr>
      <w:t>202</w:t>
    </w:r>
    <w:r w:rsidR="00D344A5">
      <w:rPr>
        <w:b/>
      </w:rPr>
      <w:t>1</w:t>
    </w:r>
  </w:p>
  <w:p w:rsidR="00F573D0" w:rsidRDefault="00F573D0" w:rsidP="00A30769">
    <w:pPr>
      <w:pStyle w:val="En-tte"/>
      <w:jc w:val="center"/>
      <w:rPr>
        <w:b/>
      </w:rPr>
    </w:pPr>
  </w:p>
  <w:p w:rsidR="000C20C3" w:rsidRDefault="000C20C3" w:rsidP="00A30769">
    <w:pPr>
      <w:pStyle w:val="En-tte"/>
      <w:jc w:val="center"/>
      <w:rPr>
        <w:b/>
      </w:rPr>
    </w:pPr>
  </w:p>
  <w:p w:rsidR="00A30769" w:rsidRDefault="00A307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B19"/>
    <w:multiLevelType w:val="hybridMultilevel"/>
    <w:tmpl w:val="437C41C4"/>
    <w:lvl w:ilvl="0" w:tplc="AEFEF700">
      <w:numFmt w:val="bullet"/>
      <w:lvlText w:val="-"/>
      <w:lvlJc w:val="left"/>
      <w:pPr>
        <w:ind w:left="524" w:hanging="360"/>
      </w:pPr>
      <w:rPr>
        <w:rFonts w:ascii="Arial" w:eastAsiaTheme="minorHAnsi" w:hAnsi="Arial" w:cs="Arial" w:hint="default"/>
      </w:rPr>
    </w:lvl>
    <w:lvl w:ilvl="1" w:tplc="040C0003" w:tentative="1">
      <w:start w:val="1"/>
      <w:numFmt w:val="bullet"/>
      <w:lvlText w:val="o"/>
      <w:lvlJc w:val="left"/>
      <w:pPr>
        <w:ind w:left="1244" w:hanging="360"/>
      </w:pPr>
      <w:rPr>
        <w:rFonts w:ascii="Courier New" w:hAnsi="Courier New" w:cs="Courier New" w:hint="default"/>
      </w:rPr>
    </w:lvl>
    <w:lvl w:ilvl="2" w:tplc="040C0005" w:tentative="1">
      <w:start w:val="1"/>
      <w:numFmt w:val="bullet"/>
      <w:lvlText w:val=""/>
      <w:lvlJc w:val="left"/>
      <w:pPr>
        <w:ind w:left="1964" w:hanging="360"/>
      </w:pPr>
      <w:rPr>
        <w:rFonts w:ascii="Wingdings" w:hAnsi="Wingdings" w:hint="default"/>
      </w:rPr>
    </w:lvl>
    <w:lvl w:ilvl="3" w:tplc="040C0001" w:tentative="1">
      <w:start w:val="1"/>
      <w:numFmt w:val="bullet"/>
      <w:lvlText w:val=""/>
      <w:lvlJc w:val="left"/>
      <w:pPr>
        <w:ind w:left="2684" w:hanging="360"/>
      </w:pPr>
      <w:rPr>
        <w:rFonts w:ascii="Symbol" w:hAnsi="Symbol" w:hint="default"/>
      </w:rPr>
    </w:lvl>
    <w:lvl w:ilvl="4" w:tplc="040C0003" w:tentative="1">
      <w:start w:val="1"/>
      <w:numFmt w:val="bullet"/>
      <w:lvlText w:val="o"/>
      <w:lvlJc w:val="left"/>
      <w:pPr>
        <w:ind w:left="3404" w:hanging="360"/>
      </w:pPr>
      <w:rPr>
        <w:rFonts w:ascii="Courier New" w:hAnsi="Courier New" w:cs="Courier New" w:hint="default"/>
      </w:rPr>
    </w:lvl>
    <w:lvl w:ilvl="5" w:tplc="040C0005" w:tentative="1">
      <w:start w:val="1"/>
      <w:numFmt w:val="bullet"/>
      <w:lvlText w:val=""/>
      <w:lvlJc w:val="left"/>
      <w:pPr>
        <w:ind w:left="4124" w:hanging="360"/>
      </w:pPr>
      <w:rPr>
        <w:rFonts w:ascii="Wingdings" w:hAnsi="Wingdings" w:hint="default"/>
      </w:rPr>
    </w:lvl>
    <w:lvl w:ilvl="6" w:tplc="040C0001" w:tentative="1">
      <w:start w:val="1"/>
      <w:numFmt w:val="bullet"/>
      <w:lvlText w:val=""/>
      <w:lvlJc w:val="left"/>
      <w:pPr>
        <w:ind w:left="4844" w:hanging="360"/>
      </w:pPr>
      <w:rPr>
        <w:rFonts w:ascii="Symbol" w:hAnsi="Symbol" w:hint="default"/>
      </w:rPr>
    </w:lvl>
    <w:lvl w:ilvl="7" w:tplc="040C0003" w:tentative="1">
      <w:start w:val="1"/>
      <w:numFmt w:val="bullet"/>
      <w:lvlText w:val="o"/>
      <w:lvlJc w:val="left"/>
      <w:pPr>
        <w:ind w:left="5564" w:hanging="360"/>
      </w:pPr>
      <w:rPr>
        <w:rFonts w:ascii="Courier New" w:hAnsi="Courier New" w:cs="Courier New" w:hint="default"/>
      </w:rPr>
    </w:lvl>
    <w:lvl w:ilvl="8" w:tplc="040C0005" w:tentative="1">
      <w:start w:val="1"/>
      <w:numFmt w:val="bullet"/>
      <w:lvlText w:val=""/>
      <w:lvlJc w:val="left"/>
      <w:pPr>
        <w:ind w:left="6284" w:hanging="360"/>
      </w:pPr>
      <w:rPr>
        <w:rFonts w:ascii="Wingdings" w:hAnsi="Wingdings" w:hint="default"/>
      </w:rPr>
    </w:lvl>
  </w:abstractNum>
  <w:abstractNum w:abstractNumId="1" w15:restartNumberingAfterBreak="0">
    <w:nsid w:val="26F66C32"/>
    <w:multiLevelType w:val="hybridMultilevel"/>
    <w:tmpl w:val="10E45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D4327"/>
    <w:multiLevelType w:val="hybridMultilevel"/>
    <w:tmpl w:val="B3DA32C2"/>
    <w:lvl w:ilvl="0" w:tplc="59E87CD8">
      <w:start w:val="2"/>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76176B"/>
    <w:multiLevelType w:val="hybridMultilevel"/>
    <w:tmpl w:val="19EC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F2336B"/>
    <w:multiLevelType w:val="hybridMultilevel"/>
    <w:tmpl w:val="48229A22"/>
    <w:lvl w:ilvl="0" w:tplc="DC6A91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BF320F"/>
    <w:multiLevelType w:val="hybridMultilevel"/>
    <w:tmpl w:val="5574C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2B4035"/>
    <w:multiLevelType w:val="hybridMultilevel"/>
    <w:tmpl w:val="B28AF658"/>
    <w:lvl w:ilvl="0" w:tplc="7CE6F5B4">
      <w:numFmt w:val="bullet"/>
      <w:lvlText w:val="-"/>
      <w:lvlJc w:val="left"/>
      <w:pPr>
        <w:ind w:left="666" w:hanging="360"/>
      </w:pPr>
      <w:rPr>
        <w:rFonts w:ascii="Calibri" w:eastAsiaTheme="minorHAnsi" w:hAnsi="Calibri" w:cs="Calibri" w:hint="default"/>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E6"/>
    <w:rsid w:val="00002C66"/>
    <w:rsid w:val="00024149"/>
    <w:rsid w:val="00034F10"/>
    <w:rsid w:val="00047980"/>
    <w:rsid w:val="00055061"/>
    <w:rsid w:val="00060997"/>
    <w:rsid w:val="000677BA"/>
    <w:rsid w:val="00074407"/>
    <w:rsid w:val="000908AA"/>
    <w:rsid w:val="00090E86"/>
    <w:rsid w:val="0009239D"/>
    <w:rsid w:val="0009321A"/>
    <w:rsid w:val="000B0962"/>
    <w:rsid w:val="000B7123"/>
    <w:rsid w:val="000C20C3"/>
    <w:rsid w:val="000C7444"/>
    <w:rsid w:val="000D2121"/>
    <w:rsid w:val="000F6AFF"/>
    <w:rsid w:val="0010778E"/>
    <w:rsid w:val="001130DA"/>
    <w:rsid w:val="00135C4F"/>
    <w:rsid w:val="001368E9"/>
    <w:rsid w:val="0014109B"/>
    <w:rsid w:val="00153294"/>
    <w:rsid w:val="0019524E"/>
    <w:rsid w:val="001B6D8D"/>
    <w:rsid w:val="001D161F"/>
    <w:rsid w:val="001D3C26"/>
    <w:rsid w:val="001D61E0"/>
    <w:rsid w:val="001E311C"/>
    <w:rsid w:val="001E3970"/>
    <w:rsid w:val="00210087"/>
    <w:rsid w:val="00211D3E"/>
    <w:rsid w:val="00215D0B"/>
    <w:rsid w:val="002208BB"/>
    <w:rsid w:val="002241DC"/>
    <w:rsid w:val="00240F90"/>
    <w:rsid w:val="00245274"/>
    <w:rsid w:val="0026462C"/>
    <w:rsid w:val="00270A52"/>
    <w:rsid w:val="00274CEF"/>
    <w:rsid w:val="00290FD3"/>
    <w:rsid w:val="00292119"/>
    <w:rsid w:val="002B125A"/>
    <w:rsid w:val="002C3F91"/>
    <w:rsid w:val="002C5E1C"/>
    <w:rsid w:val="002D4DA3"/>
    <w:rsid w:val="002E016A"/>
    <w:rsid w:val="002E074C"/>
    <w:rsid w:val="00311D6A"/>
    <w:rsid w:val="00326451"/>
    <w:rsid w:val="003532B0"/>
    <w:rsid w:val="0036000A"/>
    <w:rsid w:val="003633F3"/>
    <w:rsid w:val="0037199C"/>
    <w:rsid w:val="00376F67"/>
    <w:rsid w:val="00381B1E"/>
    <w:rsid w:val="00386A1D"/>
    <w:rsid w:val="00387A88"/>
    <w:rsid w:val="003970AD"/>
    <w:rsid w:val="003A4E50"/>
    <w:rsid w:val="003A7575"/>
    <w:rsid w:val="003A7CFE"/>
    <w:rsid w:val="003D0378"/>
    <w:rsid w:val="003D1A82"/>
    <w:rsid w:val="00400476"/>
    <w:rsid w:val="00401AAE"/>
    <w:rsid w:val="00406D6A"/>
    <w:rsid w:val="00415CAD"/>
    <w:rsid w:val="00437F85"/>
    <w:rsid w:val="004A50F3"/>
    <w:rsid w:val="004A6A8E"/>
    <w:rsid w:val="004B13C0"/>
    <w:rsid w:val="004E5E5E"/>
    <w:rsid w:val="004E6F1E"/>
    <w:rsid w:val="0050336E"/>
    <w:rsid w:val="005275BA"/>
    <w:rsid w:val="00531461"/>
    <w:rsid w:val="005524BA"/>
    <w:rsid w:val="00555F84"/>
    <w:rsid w:val="005C12DD"/>
    <w:rsid w:val="005C5145"/>
    <w:rsid w:val="005D554D"/>
    <w:rsid w:val="005E4AE2"/>
    <w:rsid w:val="005E6404"/>
    <w:rsid w:val="005F2AAB"/>
    <w:rsid w:val="005F2C17"/>
    <w:rsid w:val="005F573F"/>
    <w:rsid w:val="0060491C"/>
    <w:rsid w:val="00626576"/>
    <w:rsid w:val="00626C57"/>
    <w:rsid w:val="00646DDF"/>
    <w:rsid w:val="00647511"/>
    <w:rsid w:val="00663CB6"/>
    <w:rsid w:val="006716D4"/>
    <w:rsid w:val="00682301"/>
    <w:rsid w:val="006831FD"/>
    <w:rsid w:val="00687DEE"/>
    <w:rsid w:val="00691A94"/>
    <w:rsid w:val="006A03B1"/>
    <w:rsid w:val="006C2FFB"/>
    <w:rsid w:val="006E4CA8"/>
    <w:rsid w:val="006E5112"/>
    <w:rsid w:val="006F012E"/>
    <w:rsid w:val="006F5E4A"/>
    <w:rsid w:val="007023C6"/>
    <w:rsid w:val="0071069A"/>
    <w:rsid w:val="00741055"/>
    <w:rsid w:val="00741EF1"/>
    <w:rsid w:val="00770A57"/>
    <w:rsid w:val="007821A7"/>
    <w:rsid w:val="007838A1"/>
    <w:rsid w:val="00794461"/>
    <w:rsid w:val="0079607E"/>
    <w:rsid w:val="007A0247"/>
    <w:rsid w:val="007A4BA8"/>
    <w:rsid w:val="007B2F25"/>
    <w:rsid w:val="007C09B3"/>
    <w:rsid w:val="007F0807"/>
    <w:rsid w:val="007F25D3"/>
    <w:rsid w:val="00806F0A"/>
    <w:rsid w:val="00824AEF"/>
    <w:rsid w:val="008327AB"/>
    <w:rsid w:val="008348F2"/>
    <w:rsid w:val="008643B1"/>
    <w:rsid w:val="008662E7"/>
    <w:rsid w:val="00877459"/>
    <w:rsid w:val="00881059"/>
    <w:rsid w:val="00891BDC"/>
    <w:rsid w:val="00893283"/>
    <w:rsid w:val="00896E9B"/>
    <w:rsid w:val="008B00DE"/>
    <w:rsid w:val="008B35D0"/>
    <w:rsid w:val="008C1BDF"/>
    <w:rsid w:val="008E4077"/>
    <w:rsid w:val="008E56A0"/>
    <w:rsid w:val="008F7261"/>
    <w:rsid w:val="0090074F"/>
    <w:rsid w:val="00901DA5"/>
    <w:rsid w:val="00912AE6"/>
    <w:rsid w:val="00925DA1"/>
    <w:rsid w:val="00927D3E"/>
    <w:rsid w:val="009414AF"/>
    <w:rsid w:val="00944850"/>
    <w:rsid w:val="00956464"/>
    <w:rsid w:val="00956929"/>
    <w:rsid w:val="00960C12"/>
    <w:rsid w:val="009618E9"/>
    <w:rsid w:val="00964C97"/>
    <w:rsid w:val="00965B34"/>
    <w:rsid w:val="00995821"/>
    <w:rsid w:val="009B0908"/>
    <w:rsid w:val="009D01C2"/>
    <w:rsid w:val="009D0F98"/>
    <w:rsid w:val="009E27DB"/>
    <w:rsid w:val="00A02EE4"/>
    <w:rsid w:val="00A1672E"/>
    <w:rsid w:val="00A30769"/>
    <w:rsid w:val="00A343D7"/>
    <w:rsid w:val="00A36F8E"/>
    <w:rsid w:val="00A5218D"/>
    <w:rsid w:val="00A57B97"/>
    <w:rsid w:val="00A66141"/>
    <w:rsid w:val="00A71D98"/>
    <w:rsid w:val="00A76F0B"/>
    <w:rsid w:val="00A77D2B"/>
    <w:rsid w:val="00A96FB2"/>
    <w:rsid w:val="00AA6C55"/>
    <w:rsid w:val="00AB246A"/>
    <w:rsid w:val="00AB6A9A"/>
    <w:rsid w:val="00AC7FB3"/>
    <w:rsid w:val="00AD67FC"/>
    <w:rsid w:val="00AE0AB9"/>
    <w:rsid w:val="00AE2E5B"/>
    <w:rsid w:val="00AE62DD"/>
    <w:rsid w:val="00AE6ABE"/>
    <w:rsid w:val="00AF3074"/>
    <w:rsid w:val="00B07ECA"/>
    <w:rsid w:val="00B27BDF"/>
    <w:rsid w:val="00B302EC"/>
    <w:rsid w:val="00B4102E"/>
    <w:rsid w:val="00B4341E"/>
    <w:rsid w:val="00B72C44"/>
    <w:rsid w:val="00B816EA"/>
    <w:rsid w:val="00B831B2"/>
    <w:rsid w:val="00B84CC5"/>
    <w:rsid w:val="00B94B88"/>
    <w:rsid w:val="00BA4AD1"/>
    <w:rsid w:val="00BA7F83"/>
    <w:rsid w:val="00BC2CAD"/>
    <w:rsid w:val="00BD282F"/>
    <w:rsid w:val="00BD609E"/>
    <w:rsid w:val="00BE78B7"/>
    <w:rsid w:val="00C12322"/>
    <w:rsid w:val="00C160A4"/>
    <w:rsid w:val="00C401CC"/>
    <w:rsid w:val="00C5743D"/>
    <w:rsid w:val="00C606AB"/>
    <w:rsid w:val="00C81C89"/>
    <w:rsid w:val="00C855C8"/>
    <w:rsid w:val="00C902A8"/>
    <w:rsid w:val="00C90A72"/>
    <w:rsid w:val="00CA23FF"/>
    <w:rsid w:val="00CA2C7C"/>
    <w:rsid w:val="00CA7BFF"/>
    <w:rsid w:val="00CC3CC2"/>
    <w:rsid w:val="00CC3F11"/>
    <w:rsid w:val="00CE04E1"/>
    <w:rsid w:val="00CF10DA"/>
    <w:rsid w:val="00CF66AE"/>
    <w:rsid w:val="00D12316"/>
    <w:rsid w:val="00D1306E"/>
    <w:rsid w:val="00D15AF9"/>
    <w:rsid w:val="00D22F03"/>
    <w:rsid w:val="00D2646C"/>
    <w:rsid w:val="00D31084"/>
    <w:rsid w:val="00D344A5"/>
    <w:rsid w:val="00D36C39"/>
    <w:rsid w:val="00D379D5"/>
    <w:rsid w:val="00D41F87"/>
    <w:rsid w:val="00D4749D"/>
    <w:rsid w:val="00D509B8"/>
    <w:rsid w:val="00D7084D"/>
    <w:rsid w:val="00D72322"/>
    <w:rsid w:val="00D759DB"/>
    <w:rsid w:val="00DA4FAA"/>
    <w:rsid w:val="00DE2DBE"/>
    <w:rsid w:val="00DF3E33"/>
    <w:rsid w:val="00E027D8"/>
    <w:rsid w:val="00E11F4F"/>
    <w:rsid w:val="00E164BC"/>
    <w:rsid w:val="00E1681A"/>
    <w:rsid w:val="00E31660"/>
    <w:rsid w:val="00E360B4"/>
    <w:rsid w:val="00E42DD8"/>
    <w:rsid w:val="00E44B6D"/>
    <w:rsid w:val="00E73B05"/>
    <w:rsid w:val="00E7609D"/>
    <w:rsid w:val="00E9195F"/>
    <w:rsid w:val="00EA3EE2"/>
    <w:rsid w:val="00EB19A7"/>
    <w:rsid w:val="00EB6827"/>
    <w:rsid w:val="00EB7D5F"/>
    <w:rsid w:val="00EC1D0D"/>
    <w:rsid w:val="00EC35F3"/>
    <w:rsid w:val="00ED0411"/>
    <w:rsid w:val="00ED6902"/>
    <w:rsid w:val="00F31FF7"/>
    <w:rsid w:val="00F36CC5"/>
    <w:rsid w:val="00F47000"/>
    <w:rsid w:val="00F52B41"/>
    <w:rsid w:val="00F573D0"/>
    <w:rsid w:val="00F61201"/>
    <w:rsid w:val="00F75805"/>
    <w:rsid w:val="00FB331E"/>
    <w:rsid w:val="00FC79AE"/>
    <w:rsid w:val="00FD61E2"/>
    <w:rsid w:val="00FD6D09"/>
    <w:rsid w:val="00FE0DA2"/>
    <w:rsid w:val="00FE1696"/>
    <w:rsid w:val="00FF7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88A1D"/>
  <w15:docId w15:val="{0AEFC91A-CAAC-4812-8EB2-872C6E49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F3"/>
  </w:style>
  <w:style w:type="paragraph" w:styleId="Titre1">
    <w:name w:val="heading 1"/>
    <w:basedOn w:val="Normal"/>
    <w:link w:val="Titre1Car"/>
    <w:uiPriority w:val="9"/>
    <w:qFormat/>
    <w:rsid w:val="004A6A8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8AA"/>
    <w:pPr>
      <w:ind w:left="720"/>
      <w:contextualSpacing/>
    </w:pPr>
  </w:style>
  <w:style w:type="table" w:styleId="Grilledutableau">
    <w:name w:val="Table Grid"/>
    <w:basedOn w:val="TableauNormal"/>
    <w:uiPriority w:val="59"/>
    <w:rsid w:val="00912A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E62DD"/>
    <w:rPr>
      <w:sz w:val="16"/>
      <w:szCs w:val="16"/>
    </w:rPr>
  </w:style>
  <w:style w:type="paragraph" w:styleId="Commentaire">
    <w:name w:val="annotation text"/>
    <w:basedOn w:val="Normal"/>
    <w:link w:val="CommentaireCar"/>
    <w:uiPriority w:val="99"/>
    <w:semiHidden/>
    <w:unhideWhenUsed/>
    <w:rsid w:val="00AE62DD"/>
    <w:rPr>
      <w:sz w:val="20"/>
      <w:szCs w:val="20"/>
    </w:rPr>
  </w:style>
  <w:style w:type="character" w:customStyle="1" w:styleId="CommentaireCar">
    <w:name w:val="Commentaire Car"/>
    <w:basedOn w:val="Policepardfaut"/>
    <w:link w:val="Commentaire"/>
    <w:uiPriority w:val="99"/>
    <w:semiHidden/>
    <w:rsid w:val="00AE62DD"/>
    <w:rPr>
      <w:sz w:val="20"/>
      <w:szCs w:val="20"/>
    </w:rPr>
  </w:style>
  <w:style w:type="paragraph" w:styleId="Objetducommentaire">
    <w:name w:val="annotation subject"/>
    <w:basedOn w:val="Commentaire"/>
    <w:next w:val="Commentaire"/>
    <w:link w:val="ObjetducommentaireCar"/>
    <w:uiPriority w:val="99"/>
    <w:semiHidden/>
    <w:unhideWhenUsed/>
    <w:rsid w:val="00AE62DD"/>
    <w:rPr>
      <w:b/>
      <w:bCs/>
    </w:rPr>
  </w:style>
  <w:style w:type="character" w:customStyle="1" w:styleId="ObjetducommentaireCar">
    <w:name w:val="Objet du commentaire Car"/>
    <w:basedOn w:val="CommentaireCar"/>
    <w:link w:val="Objetducommentaire"/>
    <w:uiPriority w:val="99"/>
    <w:semiHidden/>
    <w:rsid w:val="00AE62DD"/>
    <w:rPr>
      <w:b/>
      <w:bCs/>
      <w:sz w:val="20"/>
      <w:szCs w:val="20"/>
    </w:rPr>
  </w:style>
  <w:style w:type="paragraph" w:styleId="Textedebulles">
    <w:name w:val="Balloon Text"/>
    <w:basedOn w:val="Normal"/>
    <w:link w:val="TextedebullesCar"/>
    <w:uiPriority w:val="99"/>
    <w:semiHidden/>
    <w:unhideWhenUsed/>
    <w:rsid w:val="00AE62D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2DD"/>
    <w:rPr>
      <w:rFonts w:ascii="Tahoma" w:hAnsi="Tahoma" w:cs="Tahoma"/>
      <w:sz w:val="16"/>
      <w:szCs w:val="16"/>
    </w:rPr>
  </w:style>
  <w:style w:type="paragraph" w:styleId="En-tte">
    <w:name w:val="header"/>
    <w:basedOn w:val="Normal"/>
    <w:link w:val="En-tteCar"/>
    <w:uiPriority w:val="99"/>
    <w:unhideWhenUsed/>
    <w:rsid w:val="00A30769"/>
    <w:pPr>
      <w:tabs>
        <w:tab w:val="center" w:pos="4536"/>
        <w:tab w:val="right" w:pos="9072"/>
      </w:tabs>
      <w:spacing w:after="0"/>
    </w:pPr>
  </w:style>
  <w:style w:type="character" w:customStyle="1" w:styleId="En-tteCar">
    <w:name w:val="En-tête Car"/>
    <w:basedOn w:val="Policepardfaut"/>
    <w:link w:val="En-tte"/>
    <w:uiPriority w:val="99"/>
    <w:rsid w:val="00A30769"/>
  </w:style>
  <w:style w:type="paragraph" w:styleId="Pieddepage">
    <w:name w:val="footer"/>
    <w:basedOn w:val="Normal"/>
    <w:link w:val="PieddepageCar"/>
    <w:uiPriority w:val="99"/>
    <w:unhideWhenUsed/>
    <w:rsid w:val="00A30769"/>
    <w:pPr>
      <w:tabs>
        <w:tab w:val="center" w:pos="4536"/>
        <w:tab w:val="right" w:pos="9072"/>
      </w:tabs>
      <w:spacing w:after="0"/>
    </w:pPr>
  </w:style>
  <w:style w:type="character" w:customStyle="1" w:styleId="PieddepageCar">
    <w:name w:val="Pied de page Car"/>
    <w:basedOn w:val="Policepardfaut"/>
    <w:link w:val="Pieddepage"/>
    <w:uiPriority w:val="99"/>
    <w:rsid w:val="00A30769"/>
  </w:style>
  <w:style w:type="paragraph" w:styleId="NormalWeb">
    <w:name w:val="Normal (Web)"/>
    <w:basedOn w:val="Normal"/>
    <w:uiPriority w:val="99"/>
    <w:unhideWhenUsed/>
    <w:qFormat/>
    <w:rsid w:val="00245274"/>
    <w:pPr>
      <w:spacing w:before="100" w:beforeAutospacing="1" w:after="119"/>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C35F3"/>
    <w:rPr>
      <w:i/>
      <w:iCs/>
    </w:rPr>
  </w:style>
  <w:style w:type="character" w:customStyle="1" w:styleId="fontstyle01">
    <w:name w:val="fontstyle01"/>
    <w:basedOn w:val="Policepardfaut"/>
    <w:rsid w:val="00EC35F3"/>
    <w:rPr>
      <w:rFonts w:ascii="Helvetica" w:hAnsi="Helvetica" w:hint="default"/>
      <w:b w:val="0"/>
      <w:bCs w:val="0"/>
      <w:i w:val="0"/>
      <w:iCs w:val="0"/>
      <w:color w:val="000000"/>
      <w:sz w:val="20"/>
      <w:szCs w:val="20"/>
    </w:rPr>
  </w:style>
  <w:style w:type="character" w:styleId="lev">
    <w:name w:val="Strong"/>
    <w:basedOn w:val="Policepardfaut"/>
    <w:uiPriority w:val="22"/>
    <w:qFormat/>
    <w:rsid w:val="00311D6A"/>
    <w:rPr>
      <w:b/>
      <w:bCs/>
    </w:rPr>
  </w:style>
  <w:style w:type="character" w:customStyle="1" w:styleId="texte">
    <w:name w:val="texte"/>
    <w:basedOn w:val="Policepardfaut"/>
    <w:rsid w:val="00311D6A"/>
  </w:style>
  <w:style w:type="character" w:customStyle="1" w:styleId="Titre1Car">
    <w:name w:val="Titre 1 Car"/>
    <w:basedOn w:val="Policepardfaut"/>
    <w:link w:val="Titre1"/>
    <w:uiPriority w:val="9"/>
    <w:rsid w:val="004A6A8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663CB6"/>
    <w:rPr>
      <w:color w:val="0000FF" w:themeColor="hyperlink"/>
      <w:u w:val="single"/>
    </w:rPr>
  </w:style>
  <w:style w:type="paragraph" w:customStyle="1" w:styleId="Default">
    <w:name w:val="Default"/>
    <w:rsid w:val="00E7609D"/>
    <w:pPr>
      <w:autoSpaceDE w:val="0"/>
      <w:autoSpaceDN w:val="0"/>
      <w:adjustRightInd w:val="0"/>
      <w:spacing w:after="0"/>
    </w:pPr>
    <w:rPr>
      <w:rFonts w:ascii="Calibri" w:hAnsi="Calibri" w:cs="Calibri"/>
      <w:color w:val="000000"/>
      <w:sz w:val="24"/>
      <w:szCs w:val="24"/>
    </w:rPr>
  </w:style>
  <w:style w:type="character" w:customStyle="1" w:styleId="fontstyle21">
    <w:name w:val="fontstyle21"/>
    <w:basedOn w:val="Policepardfaut"/>
    <w:rsid w:val="00C855C8"/>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224">
      <w:bodyDiv w:val="1"/>
      <w:marLeft w:val="0"/>
      <w:marRight w:val="0"/>
      <w:marTop w:val="0"/>
      <w:marBottom w:val="0"/>
      <w:divBdr>
        <w:top w:val="none" w:sz="0" w:space="0" w:color="auto"/>
        <w:left w:val="none" w:sz="0" w:space="0" w:color="auto"/>
        <w:bottom w:val="none" w:sz="0" w:space="0" w:color="auto"/>
        <w:right w:val="none" w:sz="0" w:space="0" w:color="auto"/>
      </w:divBdr>
      <w:divsChild>
        <w:div w:id="2062631444">
          <w:marLeft w:val="0"/>
          <w:marRight w:val="0"/>
          <w:marTop w:val="0"/>
          <w:marBottom w:val="0"/>
          <w:divBdr>
            <w:top w:val="none" w:sz="0" w:space="0" w:color="auto"/>
            <w:left w:val="none" w:sz="0" w:space="0" w:color="auto"/>
            <w:bottom w:val="none" w:sz="0" w:space="0" w:color="auto"/>
            <w:right w:val="none" w:sz="0" w:space="0" w:color="auto"/>
          </w:divBdr>
        </w:div>
        <w:div w:id="331686300">
          <w:marLeft w:val="0"/>
          <w:marRight w:val="0"/>
          <w:marTop w:val="0"/>
          <w:marBottom w:val="0"/>
          <w:divBdr>
            <w:top w:val="none" w:sz="0" w:space="0" w:color="auto"/>
            <w:left w:val="none" w:sz="0" w:space="0" w:color="auto"/>
            <w:bottom w:val="none" w:sz="0" w:space="0" w:color="auto"/>
            <w:right w:val="none" w:sz="0" w:space="0" w:color="auto"/>
          </w:divBdr>
        </w:div>
        <w:div w:id="1756827692">
          <w:marLeft w:val="0"/>
          <w:marRight w:val="0"/>
          <w:marTop w:val="0"/>
          <w:marBottom w:val="0"/>
          <w:divBdr>
            <w:top w:val="none" w:sz="0" w:space="0" w:color="auto"/>
            <w:left w:val="none" w:sz="0" w:space="0" w:color="auto"/>
            <w:bottom w:val="none" w:sz="0" w:space="0" w:color="auto"/>
            <w:right w:val="none" w:sz="0" w:space="0" w:color="auto"/>
          </w:divBdr>
        </w:div>
      </w:divsChild>
    </w:div>
    <w:div w:id="152261369">
      <w:bodyDiv w:val="1"/>
      <w:marLeft w:val="0"/>
      <w:marRight w:val="0"/>
      <w:marTop w:val="0"/>
      <w:marBottom w:val="0"/>
      <w:divBdr>
        <w:top w:val="none" w:sz="0" w:space="0" w:color="auto"/>
        <w:left w:val="none" w:sz="0" w:space="0" w:color="auto"/>
        <w:bottom w:val="none" w:sz="0" w:space="0" w:color="auto"/>
        <w:right w:val="none" w:sz="0" w:space="0" w:color="auto"/>
      </w:divBdr>
    </w:div>
    <w:div w:id="962538666">
      <w:bodyDiv w:val="1"/>
      <w:marLeft w:val="0"/>
      <w:marRight w:val="0"/>
      <w:marTop w:val="0"/>
      <w:marBottom w:val="0"/>
      <w:divBdr>
        <w:top w:val="none" w:sz="0" w:space="0" w:color="auto"/>
        <w:left w:val="none" w:sz="0" w:space="0" w:color="auto"/>
        <w:bottom w:val="none" w:sz="0" w:space="0" w:color="auto"/>
        <w:right w:val="none" w:sz="0" w:space="0" w:color="auto"/>
      </w:divBdr>
    </w:div>
    <w:div w:id="1631209850">
      <w:bodyDiv w:val="1"/>
      <w:marLeft w:val="0"/>
      <w:marRight w:val="0"/>
      <w:marTop w:val="0"/>
      <w:marBottom w:val="0"/>
      <w:divBdr>
        <w:top w:val="none" w:sz="0" w:space="0" w:color="auto"/>
        <w:left w:val="none" w:sz="0" w:space="0" w:color="auto"/>
        <w:bottom w:val="none" w:sz="0" w:space="0" w:color="auto"/>
        <w:right w:val="none" w:sz="0" w:space="0" w:color="auto"/>
      </w:divBdr>
    </w:div>
    <w:div w:id="1672293594">
      <w:bodyDiv w:val="1"/>
      <w:marLeft w:val="0"/>
      <w:marRight w:val="0"/>
      <w:marTop w:val="0"/>
      <w:marBottom w:val="0"/>
      <w:divBdr>
        <w:top w:val="none" w:sz="0" w:space="0" w:color="auto"/>
        <w:left w:val="none" w:sz="0" w:space="0" w:color="auto"/>
        <w:bottom w:val="none" w:sz="0" w:space="0" w:color="auto"/>
        <w:right w:val="none" w:sz="0" w:space="0" w:color="auto"/>
      </w:divBdr>
    </w:div>
    <w:div w:id="1870295766">
      <w:bodyDiv w:val="1"/>
      <w:marLeft w:val="0"/>
      <w:marRight w:val="0"/>
      <w:marTop w:val="0"/>
      <w:marBottom w:val="0"/>
      <w:divBdr>
        <w:top w:val="none" w:sz="0" w:space="0" w:color="auto"/>
        <w:left w:val="none" w:sz="0" w:space="0" w:color="auto"/>
        <w:bottom w:val="none" w:sz="0" w:space="0" w:color="auto"/>
        <w:right w:val="none" w:sz="0" w:space="0" w:color="auto"/>
      </w:divBdr>
    </w:div>
    <w:div w:id="1907644839">
      <w:bodyDiv w:val="1"/>
      <w:marLeft w:val="0"/>
      <w:marRight w:val="0"/>
      <w:marTop w:val="0"/>
      <w:marBottom w:val="0"/>
      <w:divBdr>
        <w:top w:val="none" w:sz="0" w:space="0" w:color="auto"/>
        <w:left w:val="none" w:sz="0" w:space="0" w:color="auto"/>
        <w:bottom w:val="none" w:sz="0" w:space="0" w:color="auto"/>
        <w:right w:val="none" w:sz="0" w:space="0" w:color="auto"/>
      </w:divBdr>
      <w:divsChild>
        <w:div w:id="1711959049">
          <w:marLeft w:val="0"/>
          <w:marRight w:val="0"/>
          <w:marTop w:val="0"/>
          <w:marBottom w:val="0"/>
          <w:divBdr>
            <w:top w:val="none" w:sz="0" w:space="0" w:color="auto"/>
            <w:left w:val="none" w:sz="0" w:space="0" w:color="auto"/>
            <w:bottom w:val="none" w:sz="0" w:space="0" w:color="auto"/>
            <w:right w:val="none" w:sz="0" w:space="0" w:color="auto"/>
          </w:divBdr>
        </w:div>
        <w:div w:id="1120225166">
          <w:marLeft w:val="0"/>
          <w:marRight w:val="0"/>
          <w:marTop w:val="0"/>
          <w:marBottom w:val="0"/>
          <w:divBdr>
            <w:top w:val="none" w:sz="0" w:space="0" w:color="auto"/>
            <w:left w:val="none" w:sz="0" w:space="0" w:color="auto"/>
            <w:bottom w:val="none" w:sz="0" w:space="0" w:color="auto"/>
            <w:right w:val="none" w:sz="0" w:space="0" w:color="auto"/>
          </w:divBdr>
        </w:div>
        <w:div w:id="98496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3752-7E0B-4225-AA61-62C664F7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1858</Words>
  <Characters>10222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Bernard</dc:creator>
  <cp:lastModifiedBy>Laurence Oswald</cp:lastModifiedBy>
  <cp:revision>4</cp:revision>
  <cp:lastPrinted>2021-04-26T14:12:00Z</cp:lastPrinted>
  <dcterms:created xsi:type="dcterms:W3CDTF">2021-06-18T18:27:00Z</dcterms:created>
  <dcterms:modified xsi:type="dcterms:W3CDTF">2021-09-10T12:46:00Z</dcterms:modified>
</cp:coreProperties>
</file>